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4BA45" w14:textId="700E375B" w:rsidR="00D475AC" w:rsidRPr="00D475AC" w:rsidRDefault="00AE5555" w:rsidP="00D475AC">
      <w:pPr>
        <w:spacing w:line="360" w:lineRule="auto"/>
        <w:jc w:val="right"/>
        <w:rPr>
          <w:rFonts w:ascii="Times New Roman" w:hAnsi="Times New Roman" w:cs="Times New Roman"/>
          <w:b/>
          <w:sz w:val="24"/>
          <w:szCs w:val="24"/>
          <w:lang w:val="de-DE"/>
        </w:rPr>
      </w:pPr>
      <w:bookmarkStart w:id="0" w:name="_GoBack"/>
      <w:bookmarkEnd w:id="0"/>
      <w:r>
        <w:rPr>
          <w:rFonts w:ascii="Times New Roman" w:hAnsi="Times New Roman" w:cs="Times New Roman"/>
          <w:b/>
          <w:sz w:val="24"/>
          <w:szCs w:val="24"/>
          <w:lang w:val="de-DE"/>
        </w:rPr>
        <w:t xml:space="preserve">FINAL </w:t>
      </w:r>
      <w:r w:rsidR="00773E69">
        <w:rPr>
          <w:rFonts w:ascii="Times New Roman" w:hAnsi="Times New Roman" w:cs="Times New Roman"/>
          <w:b/>
          <w:sz w:val="24"/>
          <w:szCs w:val="24"/>
          <w:lang w:val="de-DE"/>
        </w:rPr>
        <w:t>20</w:t>
      </w:r>
      <w:r w:rsidR="00B648E7">
        <w:rPr>
          <w:rFonts w:ascii="Times New Roman" w:hAnsi="Times New Roman" w:cs="Times New Roman"/>
          <w:b/>
          <w:sz w:val="24"/>
          <w:szCs w:val="24"/>
          <w:lang w:val="de-DE"/>
        </w:rPr>
        <w:t>.02</w:t>
      </w:r>
      <w:r w:rsidR="00A05D8D">
        <w:rPr>
          <w:rFonts w:ascii="Times New Roman" w:hAnsi="Times New Roman" w:cs="Times New Roman"/>
          <w:b/>
          <w:sz w:val="24"/>
          <w:szCs w:val="24"/>
          <w:lang w:val="de-DE"/>
        </w:rPr>
        <w:t>.2017</w:t>
      </w:r>
    </w:p>
    <w:p w14:paraId="2554BA46" w14:textId="77777777" w:rsidR="00D475AC" w:rsidRPr="00D475AC" w:rsidRDefault="00D475AC" w:rsidP="00D475AC">
      <w:pPr>
        <w:spacing w:line="360" w:lineRule="auto"/>
        <w:jc w:val="both"/>
        <w:rPr>
          <w:rFonts w:ascii="Times New Roman" w:hAnsi="Times New Roman" w:cs="Times New Roman"/>
          <w:sz w:val="24"/>
          <w:szCs w:val="24"/>
          <w:lang w:val="de-DE"/>
        </w:rPr>
      </w:pPr>
    </w:p>
    <w:p w14:paraId="2554BA47" w14:textId="5495BB76" w:rsidR="00D475AC" w:rsidRDefault="00D475AC" w:rsidP="00D475AC">
      <w:pPr>
        <w:spacing w:line="360" w:lineRule="auto"/>
        <w:jc w:val="both"/>
        <w:rPr>
          <w:rFonts w:ascii="Times New Roman" w:hAnsi="Times New Roman" w:cs="Times New Roman"/>
          <w:i/>
          <w:sz w:val="24"/>
          <w:szCs w:val="24"/>
          <w:lang w:val="de-DE"/>
        </w:rPr>
      </w:pPr>
      <w:r w:rsidRPr="00D475AC">
        <w:rPr>
          <w:rFonts w:ascii="Times New Roman" w:hAnsi="Times New Roman" w:cs="Times New Roman"/>
          <w:i/>
          <w:sz w:val="24"/>
          <w:szCs w:val="24"/>
          <w:lang w:val="de-DE"/>
        </w:rPr>
        <w:t>Micha</w:t>
      </w:r>
      <w:r w:rsidR="004047D6">
        <w:rPr>
          <w:rFonts w:ascii="Times New Roman" w:hAnsi="Times New Roman" w:cs="Times New Roman"/>
          <w:i/>
          <w:sz w:val="24"/>
          <w:szCs w:val="24"/>
          <w:lang w:val="de-DE"/>
        </w:rPr>
        <w:t>el Lang / Annette Lichtmannegge</w:t>
      </w:r>
      <w:r w:rsidR="00B90964">
        <w:rPr>
          <w:rFonts w:ascii="Times New Roman" w:hAnsi="Times New Roman" w:cs="Times New Roman"/>
          <w:i/>
          <w:sz w:val="24"/>
          <w:szCs w:val="24"/>
          <w:lang w:val="de-DE"/>
        </w:rPr>
        <w:t>r</w:t>
      </w:r>
      <w:r w:rsidR="004047D6" w:rsidRPr="004047D6">
        <w:rPr>
          <w:rStyle w:val="Funotenzeichen"/>
          <w:rFonts w:ascii="Times New Roman" w:hAnsi="Times New Roman" w:cs="Times New Roman"/>
          <w:i/>
          <w:sz w:val="24"/>
          <w:szCs w:val="24"/>
          <w:lang w:val="de-DE"/>
        </w:rPr>
        <w:footnoteReference w:customMarkFollows="1" w:id="1"/>
        <w:sym w:font="Symbol" w:char="F02A"/>
      </w:r>
    </w:p>
    <w:p w14:paraId="2554BA48" w14:textId="77777777" w:rsidR="00335B2F" w:rsidRPr="00335B2F" w:rsidRDefault="00335B2F" w:rsidP="00D475AC">
      <w:pPr>
        <w:spacing w:line="360" w:lineRule="auto"/>
        <w:jc w:val="both"/>
        <w:rPr>
          <w:rFonts w:ascii="Times New Roman" w:hAnsi="Times New Roman" w:cs="Times New Roman"/>
          <w:sz w:val="24"/>
          <w:szCs w:val="24"/>
          <w:lang w:val="de-DE"/>
        </w:rPr>
      </w:pPr>
    </w:p>
    <w:p w14:paraId="2554BA49" w14:textId="77777777" w:rsidR="00CD584F" w:rsidRPr="00D475AC" w:rsidRDefault="002C6E66" w:rsidP="00D475AC">
      <w:pPr>
        <w:spacing w:line="360" w:lineRule="auto"/>
        <w:jc w:val="center"/>
        <w:rPr>
          <w:rFonts w:ascii="Times New Roman" w:hAnsi="Times New Roman" w:cs="Times New Roman"/>
          <w:b/>
          <w:sz w:val="24"/>
          <w:szCs w:val="24"/>
          <w:lang w:val="de-DE"/>
        </w:rPr>
      </w:pPr>
      <w:r w:rsidRPr="00D475AC">
        <w:rPr>
          <w:rFonts w:ascii="Times New Roman" w:hAnsi="Times New Roman" w:cs="Times New Roman"/>
          <w:b/>
          <w:sz w:val="24"/>
          <w:szCs w:val="24"/>
          <w:lang w:val="de-DE"/>
        </w:rPr>
        <w:t>Das vereinfachte Berufungsverfahren nach § 99 Abs 4 UG</w:t>
      </w:r>
    </w:p>
    <w:p w14:paraId="3E753FEC" w14:textId="77777777" w:rsidR="00966F42" w:rsidRDefault="00966F42" w:rsidP="00966F42">
      <w:r>
        <w:t>Abstract:</w:t>
      </w:r>
    </w:p>
    <w:p w14:paraId="3322078B" w14:textId="77777777" w:rsidR="00966F42" w:rsidRDefault="00966F42" w:rsidP="00966F42">
      <w:r>
        <w:t xml:space="preserve">Mit § 99 Abs 4 UG wurde eine weitere Möglichkeit geschaffen, Universitätsprofessor/in zu werden. Damit können Assoziierte Professor/inn/en und Universitätsdozent/inn/en diesen Status in organisationsrechtlicher und arbeitsrechtlicher Hinsicht erlangen. Die Rahmenbedingungen dieses vereinfachten Berufungsverfahrens sowie die sich dabei stellenden Auslegungsfragen werden in diesem Beitrag näher erläutert und Lösungsvorschläge erstattet. Im Zentrum der Überlegungen stehen die Bedeutung von Entwicklungsplan und Satzung. </w:t>
      </w:r>
    </w:p>
    <w:p w14:paraId="3B882BEC" w14:textId="665774F5" w:rsidR="00966F42" w:rsidRDefault="00966F42" w:rsidP="00966F42">
      <w:r>
        <w:t>Summary</w:t>
      </w:r>
    </w:p>
    <w:p w14:paraId="442EC1F5" w14:textId="3A1011C5" w:rsidR="00966F42" w:rsidRPr="007647AE" w:rsidRDefault="00966F42" w:rsidP="00966F42">
      <w:pPr>
        <w:pStyle w:val="s3"/>
        <w:spacing w:before="0" w:beforeAutospacing="0" w:after="120" w:afterAutospacing="0"/>
        <w:rPr>
          <w:rStyle w:val="s2"/>
          <w:rFonts w:ascii="-webkit-standard" w:hAnsi="-webkit-standard"/>
          <w:color w:val="000000"/>
          <w:sz w:val="27"/>
          <w:szCs w:val="27"/>
        </w:rPr>
      </w:pPr>
      <w:r>
        <w:rPr>
          <w:rStyle w:val="s2"/>
          <w:rFonts w:ascii="-webkit-standard" w:hAnsi="-webkit-standard"/>
          <w:color w:val="000000"/>
          <w:sz w:val="27"/>
          <w:szCs w:val="27"/>
          <w:lang w:val="en-US"/>
        </w:rPr>
        <w:t xml:space="preserve">§ 99 Abs 4 of the Universities Act created a further possibility for </w:t>
      </w:r>
      <w:r>
        <w:rPr>
          <w:rStyle w:val="s2"/>
          <w:rFonts w:ascii="-webkit-standard" w:hAnsi="-webkit-standard"/>
          <w:color w:val="000000"/>
          <w:sz w:val="27"/>
          <w:szCs w:val="27"/>
        </w:rPr>
        <w:t xml:space="preserve">paths to </w:t>
      </w:r>
      <w:r>
        <w:rPr>
          <w:rStyle w:val="s2"/>
          <w:rFonts w:ascii="-webkit-standard" w:hAnsi="-webkit-standard"/>
          <w:color w:val="000000"/>
          <w:sz w:val="27"/>
          <w:szCs w:val="27"/>
          <w:lang w:val="en-US"/>
        </w:rPr>
        <w:t>becoming a university professor in Austria. In this way, associate professors and senior lecturers (</w:t>
      </w:r>
      <w:r>
        <w:rPr>
          <w:rStyle w:val="s2"/>
          <w:rFonts w:ascii="-webkit-standard" w:hAnsi="-webkit-standard" w:hint="eastAsia"/>
          <w:color w:val="000000"/>
          <w:sz w:val="27"/>
          <w:szCs w:val="27"/>
        </w:rPr>
        <w:t>“</w:t>
      </w:r>
      <w:r>
        <w:rPr>
          <w:rStyle w:val="s2"/>
          <w:rFonts w:ascii="-webkit-standard" w:hAnsi="-webkit-standard"/>
          <w:color w:val="000000"/>
          <w:sz w:val="27"/>
          <w:szCs w:val="27"/>
        </w:rPr>
        <w:t>Dozente</w:t>
      </w:r>
      <w:r>
        <w:rPr>
          <w:rStyle w:val="s2"/>
          <w:rFonts w:ascii="-webkit-standard" w:hAnsi="-webkit-standard" w:hint="eastAsia"/>
          <w:color w:val="000000"/>
          <w:sz w:val="27"/>
          <w:szCs w:val="27"/>
        </w:rPr>
        <w:t>”</w:t>
      </w:r>
      <w:r>
        <w:rPr>
          <w:rStyle w:val="s2"/>
          <w:rFonts w:ascii="-webkit-standard" w:hAnsi="-webkit-standard"/>
          <w:color w:val="000000"/>
          <w:sz w:val="27"/>
          <w:szCs w:val="27"/>
          <w:lang w:val="de-AT"/>
        </w:rPr>
        <w:t xml:space="preserve">, </w:t>
      </w:r>
      <w:r>
        <w:rPr>
          <w:rStyle w:val="s2"/>
          <w:rFonts w:ascii="-webkit-standard" w:hAnsi="-webkit-standard"/>
          <w:color w:val="000000"/>
          <w:sz w:val="27"/>
          <w:szCs w:val="27"/>
        </w:rPr>
        <w:t xml:space="preserve">with </w:t>
      </w:r>
      <w:r>
        <w:rPr>
          <w:rStyle w:val="s2"/>
          <w:rFonts w:ascii="-webkit-standard" w:hAnsi="-webkit-standard" w:hint="eastAsia"/>
          <w:color w:val="000000"/>
          <w:sz w:val="27"/>
          <w:szCs w:val="27"/>
          <w:lang w:val="en-US"/>
        </w:rPr>
        <w:t>“</w:t>
      </w:r>
      <w:r>
        <w:rPr>
          <w:rStyle w:val="s2"/>
          <w:rFonts w:ascii="-webkit-standard" w:hAnsi="-webkit-standard"/>
          <w:color w:val="000000"/>
          <w:sz w:val="27"/>
          <w:szCs w:val="27"/>
        </w:rPr>
        <w:t>Habilitation</w:t>
      </w:r>
      <w:r>
        <w:rPr>
          <w:rStyle w:val="s2"/>
          <w:rFonts w:ascii="-webkit-standard" w:hAnsi="-webkit-standard" w:hint="eastAsia"/>
          <w:color w:val="000000"/>
          <w:sz w:val="27"/>
          <w:szCs w:val="27"/>
        </w:rPr>
        <w:t>”</w:t>
      </w:r>
      <w:r>
        <w:rPr>
          <w:rStyle w:val="s2"/>
          <w:rFonts w:ascii="-webkit-standard" w:hAnsi="-webkit-standard"/>
          <w:color w:val="000000"/>
          <w:sz w:val="27"/>
          <w:szCs w:val="27"/>
          <w:lang w:val="en-US"/>
        </w:rPr>
        <w:t>)</w:t>
      </w:r>
      <w:r>
        <w:rPr>
          <w:rStyle w:val="s2"/>
          <w:rFonts w:ascii="-webkit-standard" w:hAnsi="-webkit-standard"/>
          <w:color w:val="000000"/>
          <w:sz w:val="27"/>
          <w:szCs w:val="27"/>
        </w:rPr>
        <w:t xml:space="preserve"> </w:t>
      </w:r>
      <w:r>
        <w:rPr>
          <w:rStyle w:val="s2"/>
          <w:rFonts w:ascii="-webkit-standard" w:hAnsi="-webkit-standard"/>
          <w:color w:val="000000"/>
          <w:sz w:val="27"/>
          <w:szCs w:val="27"/>
          <w:lang w:val="en-US"/>
        </w:rPr>
        <w:t xml:space="preserve"> are able to achieve this status</w:t>
      </w:r>
      <w:r>
        <w:rPr>
          <w:rStyle w:val="s2"/>
          <w:rFonts w:ascii="-webkit-standard" w:hAnsi="-webkit-standard"/>
          <w:color w:val="000000"/>
          <w:sz w:val="27"/>
          <w:szCs w:val="27"/>
        </w:rPr>
        <w:t xml:space="preserve"> within the context of both organisational and labour law.</w:t>
      </w:r>
      <w:r>
        <w:rPr>
          <w:rStyle w:val="s2"/>
          <w:rFonts w:ascii="-webkit-standard" w:hAnsi="-webkit-standard"/>
          <w:color w:val="000000"/>
          <w:sz w:val="27"/>
          <w:szCs w:val="27"/>
          <w:lang w:val="de-AT"/>
        </w:rPr>
        <w:t xml:space="preserve"> Both </w:t>
      </w:r>
      <w:r>
        <w:rPr>
          <w:rStyle w:val="s2"/>
          <w:rFonts w:ascii="-webkit-standard" w:hAnsi="-webkit-standard"/>
          <w:color w:val="000000"/>
          <w:sz w:val="27"/>
          <w:szCs w:val="27"/>
          <w:lang w:val="en-US"/>
        </w:rPr>
        <w:t>conditions for this simplified appeals</w:t>
      </w:r>
      <w:r>
        <w:rPr>
          <w:rStyle w:val="s2"/>
          <w:rFonts w:ascii="-webkit-standard" w:hAnsi="-webkit-standard" w:hint="eastAsia"/>
          <w:color w:val="000000"/>
          <w:sz w:val="27"/>
          <w:szCs w:val="27"/>
          <w:lang w:val="en-US"/>
        </w:rPr>
        <w:t>’</w:t>
      </w:r>
      <w:r>
        <w:rPr>
          <w:rStyle w:val="s2"/>
          <w:rFonts w:ascii="-webkit-standard" w:hAnsi="-webkit-standard"/>
          <w:color w:val="000000"/>
          <w:sz w:val="27"/>
          <w:szCs w:val="27"/>
        </w:rPr>
        <w:t xml:space="preserve"> procedure</w:t>
      </w:r>
      <w:r>
        <w:rPr>
          <w:rStyle w:val="s2"/>
          <w:rFonts w:ascii="-webkit-standard" w:hAnsi="-webkit-standard"/>
          <w:color w:val="000000"/>
          <w:sz w:val="27"/>
          <w:szCs w:val="27"/>
          <w:lang w:val="en-US"/>
        </w:rPr>
        <w:t xml:space="preserve">  and questions arising from them will be dealt with in detail in this paper and suggestions </w:t>
      </w:r>
      <w:r>
        <w:rPr>
          <w:rStyle w:val="s2"/>
          <w:rFonts w:ascii="-webkit-standard" w:hAnsi="-webkit-standard"/>
          <w:color w:val="000000"/>
          <w:sz w:val="27"/>
          <w:szCs w:val="27"/>
        </w:rPr>
        <w:t xml:space="preserve">made </w:t>
      </w:r>
      <w:r>
        <w:rPr>
          <w:rStyle w:val="s2"/>
          <w:rFonts w:ascii="-webkit-standard" w:hAnsi="-webkit-standard"/>
          <w:color w:val="000000"/>
          <w:sz w:val="27"/>
          <w:szCs w:val="27"/>
          <w:lang w:val="en-US"/>
        </w:rPr>
        <w:t xml:space="preserve">regarding solutions. The main focus will be on the significance of the development plan and its legal standards. </w:t>
      </w:r>
    </w:p>
    <w:p w14:paraId="0834A2D5" w14:textId="77777777" w:rsidR="00966F42" w:rsidRDefault="00966F42" w:rsidP="00966F42"/>
    <w:p w14:paraId="7209E110" w14:textId="77777777" w:rsidR="00966F42" w:rsidRDefault="00966F42" w:rsidP="00966F42">
      <w:r>
        <w:t>Deskriptoren: Anhörung; Assoziierte Professorinnen und Assoziierte Professoren; Ausschreibung; Auswahlverfahren; Berufungsverfahren, Entwicklungsplan; fachlicher Bereich; Qualifikationsprüfung; Satzung; Tenure Track; UG-Novelle; Universitätsdozentinnen und Universitätsdozenten; Universitätsprofessorinnen und Universitätsprofessoren; Verweisung;</w:t>
      </w:r>
    </w:p>
    <w:p w14:paraId="000C04F9" w14:textId="77777777" w:rsidR="00966F42" w:rsidRDefault="00966F42" w:rsidP="00966F42">
      <w:r>
        <w:t>UG: §§ 13b, 22, 19, 94, 98, 99, 107, 122.</w:t>
      </w:r>
    </w:p>
    <w:p w14:paraId="2554BA4A" w14:textId="77777777" w:rsidR="00711DEE" w:rsidRDefault="00711DEE" w:rsidP="00D475AC">
      <w:pPr>
        <w:spacing w:line="360" w:lineRule="auto"/>
        <w:jc w:val="both"/>
        <w:rPr>
          <w:rFonts w:ascii="Times New Roman" w:hAnsi="Times New Roman" w:cs="Times New Roman"/>
          <w:sz w:val="24"/>
          <w:szCs w:val="24"/>
          <w:lang w:val="de-DE"/>
        </w:rPr>
      </w:pPr>
    </w:p>
    <w:p w14:paraId="239D1F2E" w14:textId="525AFD0D" w:rsidR="008512E8" w:rsidRDefault="008512E8" w:rsidP="008512E8">
      <w:pPr>
        <w:spacing w:line="360" w:lineRule="auto"/>
        <w:ind w:left="360"/>
        <w:jc w:val="both"/>
        <w:rPr>
          <w:rFonts w:ascii="Times New Roman" w:hAnsi="Times New Roman" w:cs="Times New Roman"/>
          <w:sz w:val="24"/>
          <w:szCs w:val="24"/>
          <w:lang w:val="de-DE"/>
        </w:rPr>
      </w:pPr>
      <w:r>
        <w:rPr>
          <w:rFonts w:ascii="Times New Roman" w:hAnsi="Times New Roman" w:cs="Times New Roman"/>
          <w:sz w:val="24"/>
          <w:szCs w:val="24"/>
          <w:lang w:val="de-DE"/>
        </w:rPr>
        <w:t>I. Die Berufungsverfahren nach den §§ 98 f UG</w:t>
      </w:r>
    </w:p>
    <w:p w14:paraId="299EF648" w14:textId="60F66593" w:rsidR="008512E8" w:rsidRDefault="008512E8" w:rsidP="008512E8">
      <w:pPr>
        <w:spacing w:line="360" w:lineRule="auto"/>
        <w:ind w:left="36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II. </w:t>
      </w:r>
      <w:r w:rsidRPr="008512E8">
        <w:rPr>
          <w:rFonts w:ascii="Times New Roman" w:hAnsi="Times New Roman" w:cs="Times New Roman"/>
          <w:sz w:val="24"/>
          <w:szCs w:val="24"/>
          <w:lang w:val="de-DE"/>
        </w:rPr>
        <w:t>Die Festlegungen im Entwicklungsplan</w:t>
      </w:r>
    </w:p>
    <w:p w14:paraId="67A3ABCA" w14:textId="2129BD9B" w:rsidR="008512E8" w:rsidRDefault="008512E8" w:rsidP="008512E8">
      <w:pPr>
        <w:spacing w:line="360" w:lineRule="auto"/>
        <w:ind w:left="36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III. </w:t>
      </w:r>
      <w:r w:rsidRPr="008512E8">
        <w:rPr>
          <w:rFonts w:ascii="Times New Roman" w:hAnsi="Times New Roman" w:cs="Times New Roman"/>
          <w:sz w:val="24"/>
          <w:szCs w:val="24"/>
          <w:lang w:val="de-DE"/>
        </w:rPr>
        <w:t>Die Festlegung näherer Bestimmungen durch die Satzung</w:t>
      </w:r>
    </w:p>
    <w:p w14:paraId="62690A05" w14:textId="3FEE70EC" w:rsidR="008512E8" w:rsidRPr="008512E8" w:rsidRDefault="008512E8" w:rsidP="008512E8">
      <w:pPr>
        <w:spacing w:line="360" w:lineRule="auto"/>
        <w:ind w:left="360"/>
        <w:jc w:val="both"/>
        <w:rPr>
          <w:rFonts w:ascii="Times New Roman" w:hAnsi="Times New Roman" w:cs="Times New Roman"/>
          <w:sz w:val="24"/>
          <w:szCs w:val="24"/>
          <w:lang w:val="de-DE"/>
        </w:rPr>
      </w:pPr>
      <w:r w:rsidRPr="008512E8">
        <w:rPr>
          <w:rFonts w:ascii="Times New Roman" w:hAnsi="Times New Roman" w:cs="Times New Roman"/>
          <w:sz w:val="24"/>
          <w:szCs w:val="24"/>
          <w:lang w:val="de-DE"/>
        </w:rPr>
        <w:t>IV. Zusammenfassende Würdigung</w:t>
      </w:r>
    </w:p>
    <w:p w14:paraId="2554BA4B" w14:textId="77777777" w:rsidR="00711DEE" w:rsidRPr="00D475AC" w:rsidRDefault="00711DEE" w:rsidP="00D475AC">
      <w:pPr>
        <w:pStyle w:val="Listenabsatz"/>
        <w:numPr>
          <w:ilvl w:val="0"/>
          <w:numId w:val="1"/>
        </w:numPr>
        <w:spacing w:line="360" w:lineRule="auto"/>
        <w:jc w:val="both"/>
        <w:rPr>
          <w:rFonts w:ascii="Times New Roman" w:hAnsi="Times New Roman" w:cs="Times New Roman"/>
          <w:b/>
          <w:sz w:val="24"/>
          <w:szCs w:val="24"/>
          <w:lang w:val="de-DE"/>
        </w:rPr>
      </w:pPr>
      <w:r w:rsidRPr="00D475AC">
        <w:rPr>
          <w:rFonts w:ascii="Times New Roman" w:hAnsi="Times New Roman" w:cs="Times New Roman"/>
          <w:b/>
          <w:sz w:val="24"/>
          <w:szCs w:val="24"/>
          <w:lang w:val="de-DE"/>
        </w:rPr>
        <w:lastRenderedPageBreak/>
        <w:t>Die Berufungsverfahren nach den §§ 98 f UG</w:t>
      </w:r>
    </w:p>
    <w:p w14:paraId="2554BA4C" w14:textId="7BB62978" w:rsidR="003562DA" w:rsidRPr="00D475AC" w:rsidRDefault="00EE42B9" w:rsidP="00D475AC">
      <w:pPr>
        <w:spacing w:line="360" w:lineRule="auto"/>
        <w:jc w:val="both"/>
        <w:rPr>
          <w:rFonts w:ascii="Times New Roman" w:hAnsi="Times New Roman" w:cs="Times New Roman"/>
          <w:sz w:val="24"/>
          <w:szCs w:val="24"/>
          <w:lang w:val="de-DE"/>
        </w:rPr>
      </w:pPr>
      <w:r w:rsidRPr="00D475AC">
        <w:rPr>
          <w:rFonts w:ascii="Times New Roman" w:hAnsi="Times New Roman" w:cs="Times New Roman"/>
          <w:sz w:val="24"/>
          <w:szCs w:val="24"/>
          <w:lang w:val="de-DE"/>
        </w:rPr>
        <w:t xml:space="preserve">Das Universitätsrecht kennt verschiedene Verfahren der Berufung zu Universitätsprofessor/inn/en. Am ausführlichsten ist das Verfahren nach § 98 UG geregelt. </w:t>
      </w:r>
      <w:r w:rsidR="006416D7" w:rsidRPr="00D475AC">
        <w:rPr>
          <w:rFonts w:ascii="Times New Roman" w:hAnsi="Times New Roman" w:cs="Times New Roman"/>
          <w:sz w:val="24"/>
          <w:szCs w:val="24"/>
          <w:lang w:val="de-DE"/>
        </w:rPr>
        <w:t xml:space="preserve">Jede nach dieser Vorschrift zu besetzende Stelle ist vom Rektorat im In- und Ausland öffentlich auszuschreiben. </w:t>
      </w:r>
      <w:r w:rsidRPr="00D475AC">
        <w:rPr>
          <w:rFonts w:ascii="Times New Roman" w:hAnsi="Times New Roman" w:cs="Times New Roman"/>
          <w:sz w:val="24"/>
          <w:szCs w:val="24"/>
          <w:lang w:val="de-DE"/>
        </w:rPr>
        <w:t xml:space="preserve">Der Auswahlentscheidung durch die Rektorin oder den Rektor liegt ein von einer Berufungskommission aufgrund von internen und externen Gutachten erstellter Besetzungsvorschlag zugrunde. </w:t>
      </w:r>
      <w:r w:rsidR="006416D7" w:rsidRPr="00D475AC">
        <w:rPr>
          <w:rFonts w:ascii="Times New Roman" w:hAnsi="Times New Roman" w:cs="Times New Roman"/>
          <w:sz w:val="24"/>
          <w:szCs w:val="24"/>
          <w:lang w:val="de-DE"/>
        </w:rPr>
        <w:t xml:space="preserve">Die Berufungskommission wird vom Senat eingesetzt, wobei die Universitätsprofessor/inn/en mehr als die Hälfte der Mitglieder und die Studierenden mindestens ein Mitglied stellen. Die Gutachter/innen werden von </w:t>
      </w:r>
      <w:r w:rsidR="00595C10" w:rsidRPr="00D475AC">
        <w:rPr>
          <w:rFonts w:ascii="Times New Roman" w:hAnsi="Times New Roman" w:cs="Times New Roman"/>
          <w:sz w:val="24"/>
          <w:szCs w:val="24"/>
          <w:lang w:val="de-DE"/>
        </w:rPr>
        <w:t xml:space="preserve">den im Senat vertretenen Universitätsprofessor/inn/en bestellt, die diese Aufgabe auch an die Universitätsprofessor/inn/en des Fachbereichs oder des fachlich nahestehenden Bereichs übertragen können. </w:t>
      </w:r>
    </w:p>
    <w:p w14:paraId="2554BA4D" w14:textId="38414F08" w:rsidR="00024D02" w:rsidRPr="00D475AC" w:rsidRDefault="003562DA" w:rsidP="00D475AC">
      <w:pPr>
        <w:spacing w:line="360" w:lineRule="auto"/>
        <w:jc w:val="both"/>
        <w:rPr>
          <w:rFonts w:ascii="Times New Roman" w:hAnsi="Times New Roman" w:cs="Times New Roman"/>
          <w:sz w:val="24"/>
          <w:szCs w:val="24"/>
          <w:lang w:val="de-DE"/>
        </w:rPr>
      </w:pPr>
      <w:r w:rsidRPr="00D475AC">
        <w:rPr>
          <w:rFonts w:ascii="Times New Roman" w:hAnsi="Times New Roman" w:cs="Times New Roman"/>
          <w:sz w:val="24"/>
          <w:szCs w:val="24"/>
          <w:lang w:val="de-DE"/>
        </w:rPr>
        <w:t>§ 99 UG regelt seiner Überschrift zufolge „abgekürzte</w:t>
      </w:r>
      <w:r w:rsidR="00667E43">
        <w:rPr>
          <w:rFonts w:ascii="Times New Roman" w:hAnsi="Times New Roman" w:cs="Times New Roman"/>
          <w:sz w:val="24"/>
          <w:szCs w:val="24"/>
          <w:lang w:val="de-DE"/>
        </w:rPr>
        <w:t>[</w:t>
      </w:r>
      <w:r w:rsidRPr="00D475AC">
        <w:rPr>
          <w:rFonts w:ascii="Times New Roman" w:hAnsi="Times New Roman" w:cs="Times New Roman"/>
          <w:sz w:val="24"/>
          <w:szCs w:val="24"/>
          <w:lang w:val="de-DE"/>
        </w:rPr>
        <w:t>s</w:t>
      </w:r>
      <w:r w:rsidR="00667E43">
        <w:rPr>
          <w:rFonts w:ascii="Times New Roman" w:hAnsi="Times New Roman" w:cs="Times New Roman"/>
          <w:sz w:val="24"/>
          <w:szCs w:val="24"/>
          <w:lang w:val="de-DE"/>
        </w:rPr>
        <w:t>]</w:t>
      </w:r>
      <w:r w:rsidRPr="00D475AC">
        <w:rPr>
          <w:rFonts w:ascii="Times New Roman" w:hAnsi="Times New Roman" w:cs="Times New Roman"/>
          <w:sz w:val="24"/>
          <w:szCs w:val="24"/>
          <w:lang w:val="de-DE"/>
        </w:rPr>
        <w:t xml:space="preserve"> Berufungsverfahren“ für Universitätsprofessor/inn/en. Das in § 99 Abs 1 UG beschriebene Verfahren war </w:t>
      </w:r>
      <w:r w:rsidR="00667E43">
        <w:rPr>
          <w:rFonts w:ascii="Times New Roman" w:hAnsi="Times New Roman" w:cs="Times New Roman"/>
          <w:sz w:val="24"/>
          <w:szCs w:val="24"/>
          <w:lang w:val="de-DE"/>
        </w:rPr>
        <w:t xml:space="preserve">in seinen Grundzügen </w:t>
      </w:r>
      <w:r w:rsidRPr="00D475AC">
        <w:rPr>
          <w:rFonts w:ascii="Times New Roman" w:hAnsi="Times New Roman" w:cs="Times New Roman"/>
          <w:sz w:val="24"/>
          <w:szCs w:val="24"/>
          <w:lang w:val="de-DE"/>
        </w:rPr>
        <w:t>bereits in der Stammfassung des UG vorgesehen: Soll eine Universitätsprofessorin</w:t>
      </w:r>
      <w:r w:rsidR="004068E2">
        <w:rPr>
          <w:rFonts w:ascii="Times New Roman" w:hAnsi="Times New Roman" w:cs="Times New Roman"/>
          <w:sz w:val="24"/>
          <w:szCs w:val="24"/>
          <w:lang w:val="de-DE"/>
        </w:rPr>
        <w:t xml:space="preserve"> oder ein Universitätsprofessor</w:t>
      </w:r>
      <w:r w:rsidRPr="00D475AC">
        <w:rPr>
          <w:rFonts w:ascii="Times New Roman" w:hAnsi="Times New Roman" w:cs="Times New Roman"/>
          <w:sz w:val="24"/>
          <w:szCs w:val="24"/>
          <w:lang w:val="de-DE"/>
        </w:rPr>
        <w:t xml:space="preserve"> für einen Zeitraum von bis zu fünf – ursprünglich zwei – Jahren aufgenommen werden, ist § 98 Abs 1 und 3 bis 8 UG nicht anzuwenden. Eine Verlängerung der Bestellung ist nur nach Durchführung eines Berufungsverfahrens nach § 98 UG zulässig. § 99 Abs 1 sieht somit nicht die Mitwirkung von Berufungskommissionen vor. Stattdessen </w:t>
      </w:r>
      <w:r w:rsidR="002017A6" w:rsidRPr="00D475AC">
        <w:rPr>
          <w:rFonts w:ascii="Times New Roman" w:hAnsi="Times New Roman" w:cs="Times New Roman"/>
          <w:sz w:val="24"/>
          <w:szCs w:val="24"/>
          <w:lang w:val="de-DE"/>
        </w:rPr>
        <w:t xml:space="preserve">hat </w:t>
      </w:r>
      <w:r w:rsidR="00C050C1">
        <w:rPr>
          <w:rFonts w:ascii="Times New Roman" w:hAnsi="Times New Roman" w:cs="Times New Roman"/>
          <w:sz w:val="24"/>
          <w:szCs w:val="24"/>
          <w:lang w:val="de-DE"/>
        </w:rPr>
        <w:t>die</w:t>
      </w:r>
      <w:r w:rsidR="00C050C1" w:rsidRPr="00D475AC">
        <w:rPr>
          <w:rFonts w:ascii="Times New Roman" w:hAnsi="Times New Roman" w:cs="Times New Roman"/>
          <w:sz w:val="24"/>
          <w:szCs w:val="24"/>
          <w:lang w:val="de-DE"/>
        </w:rPr>
        <w:t xml:space="preserve"> </w:t>
      </w:r>
      <w:r w:rsidR="00C050C1">
        <w:rPr>
          <w:rFonts w:ascii="Times New Roman" w:hAnsi="Times New Roman" w:cs="Times New Roman"/>
          <w:sz w:val="24"/>
          <w:szCs w:val="24"/>
          <w:lang w:val="de-DE"/>
        </w:rPr>
        <w:t xml:space="preserve">Rektorin </w:t>
      </w:r>
      <w:r w:rsidR="002017A6" w:rsidRPr="00D475AC">
        <w:rPr>
          <w:rFonts w:ascii="Times New Roman" w:hAnsi="Times New Roman" w:cs="Times New Roman"/>
          <w:sz w:val="24"/>
          <w:szCs w:val="24"/>
          <w:lang w:val="de-DE"/>
        </w:rPr>
        <w:t xml:space="preserve">oder </w:t>
      </w:r>
      <w:r w:rsidR="00C050C1">
        <w:rPr>
          <w:rFonts w:ascii="Times New Roman" w:hAnsi="Times New Roman" w:cs="Times New Roman"/>
          <w:sz w:val="24"/>
          <w:szCs w:val="24"/>
          <w:lang w:val="de-DE"/>
        </w:rPr>
        <w:t>der</w:t>
      </w:r>
      <w:r w:rsidR="00C050C1" w:rsidRPr="00D475AC">
        <w:rPr>
          <w:rFonts w:ascii="Times New Roman" w:hAnsi="Times New Roman" w:cs="Times New Roman"/>
          <w:sz w:val="24"/>
          <w:szCs w:val="24"/>
          <w:lang w:val="de-DE"/>
        </w:rPr>
        <w:t xml:space="preserve"> </w:t>
      </w:r>
      <w:r w:rsidR="002017A6" w:rsidRPr="00D475AC">
        <w:rPr>
          <w:rFonts w:ascii="Times New Roman" w:hAnsi="Times New Roman" w:cs="Times New Roman"/>
          <w:sz w:val="24"/>
          <w:szCs w:val="24"/>
          <w:lang w:val="de-DE"/>
        </w:rPr>
        <w:t xml:space="preserve">Rektor </w:t>
      </w:r>
      <w:r w:rsidR="00C050C1" w:rsidRPr="00D475AC">
        <w:rPr>
          <w:rFonts w:ascii="Times New Roman" w:hAnsi="Times New Roman" w:cs="Times New Roman"/>
          <w:sz w:val="24"/>
          <w:szCs w:val="24"/>
          <w:lang w:val="de-DE"/>
        </w:rPr>
        <w:t>d</w:t>
      </w:r>
      <w:r w:rsidR="00C050C1">
        <w:rPr>
          <w:rFonts w:ascii="Times New Roman" w:hAnsi="Times New Roman" w:cs="Times New Roman"/>
          <w:sz w:val="24"/>
          <w:szCs w:val="24"/>
          <w:lang w:val="de-DE"/>
        </w:rPr>
        <w:t>ie</w:t>
      </w:r>
      <w:r w:rsidR="00C050C1" w:rsidRPr="00D475AC">
        <w:rPr>
          <w:rFonts w:ascii="Times New Roman" w:hAnsi="Times New Roman" w:cs="Times New Roman"/>
          <w:sz w:val="24"/>
          <w:szCs w:val="24"/>
          <w:lang w:val="de-DE"/>
        </w:rPr>
        <w:t xml:space="preserve"> Kandidat</w:t>
      </w:r>
      <w:r w:rsidR="00C050C1">
        <w:rPr>
          <w:rFonts w:ascii="Times New Roman" w:hAnsi="Times New Roman" w:cs="Times New Roman"/>
          <w:sz w:val="24"/>
          <w:szCs w:val="24"/>
          <w:lang w:val="de-DE"/>
        </w:rPr>
        <w:t>in</w:t>
      </w:r>
      <w:r w:rsidR="00C050C1" w:rsidRPr="00D475AC">
        <w:rPr>
          <w:rFonts w:ascii="Times New Roman" w:hAnsi="Times New Roman" w:cs="Times New Roman"/>
          <w:sz w:val="24"/>
          <w:szCs w:val="24"/>
          <w:lang w:val="de-DE"/>
        </w:rPr>
        <w:t xml:space="preserve"> </w:t>
      </w:r>
      <w:r w:rsidR="002017A6" w:rsidRPr="00D475AC">
        <w:rPr>
          <w:rFonts w:ascii="Times New Roman" w:hAnsi="Times New Roman" w:cs="Times New Roman"/>
          <w:sz w:val="24"/>
          <w:szCs w:val="24"/>
          <w:lang w:val="de-DE"/>
        </w:rPr>
        <w:t xml:space="preserve">oder </w:t>
      </w:r>
      <w:r w:rsidR="00C050C1" w:rsidRPr="00D475AC">
        <w:rPr>
          <w:rFonts w:ascii="Times New Roman" w:hAnsi="Times New Roman" w:cs="Times New Roman"/>
          <w:sz w:val="24"/>
          <w:szCs w:val="24"/>
          <w:lang w:val="de-DE"/>
        </w:rPr>
        <w:t>d</w:t>
      </w:r>
      <w:r w:rsidR="00C050C1">
        <w:rPr>
          <w:rFonts w:ascii="Times New Roman" w:hAnsi="Times New Roman" w:cs="Times New Roman"/>
          <w:sz w:val="24"/>
          <w:szCs w:val="24"/>
          <w:lang w:val="de-DE"/>
        </w:rPr>
        <w:t>en</w:t>
      </w:r>
      <w:r w:rsidR="00C050C1" w:rsidRPr="00D475AC">
        <w:rPr>
          <w:rFonts w:ascii="Times New Roman" w:hAnsi="Times New Roman" w:cs="Times New Roman"/>
          <w:sz w:val="24"/>
          <w:szCs w:val="24"/>
          <w:lang w:val="de-DE"/>
        </w:rPr>
        <w:t xml:space="preserve"> </w:t>
      </w:r>
      <w:r w:rsidR="002017A6" w:rsidRPr="00D475AC">
        <w:rPr>
          <w:rFonts w:ascii="Times New Roman" w:hAnsi="Times New Roman" w:cs="Times New Roman"/>
          <w:sz w:val="24"/>
          <w:szCs w:val="24"/>
          <w:lang w:val="de-DE"/>
        </w:rPr>
        <w:t>Kandidat</w:t>
      </w:r>
      <w:r w:rsidR="00C050C1">
        <w:rPr>
          <w:rFonts w:ascii="Times New Roman" w:hAnsi="Times New Roman" w:cs="Times New Roman"/>
          <w:sz w:val="24"/>
          <w:szCs w:val="24"/>
          <w:lang w:val="de-DE"/>
        </w:rPr>
        <w:t>e</w:t>
      </w:r>
      <w:r w:rsidR="002017A6" w:rsidRPr="00D475AC">
        <w:rPr>
          <w:rFonts w:ascii="Times New Roman" w:hAnsi="Times New Roman" w:cs="Times New Roman"/>
          <w:sz w:val="24"/>
          <w:szCs w:val="24"/>
          <w:lang w:val="de-DE"/>
        </w:rPr>
        <w:t xml:space="preserve">n für die zu besetzende Stelle auf Vorschlag oder nach Anhörung </w:t>
      </w:r>
      <w:r w:rsidR="00A20FD9">
        <w:rPr>
          <w:rFonts w:ascii="Times New Roman" w:hAnsi="Times New Roman" w:cs="Times New Roman"/>
          <w:sz w:val="24"/>
          <w:szCs w:val="24"/>
          <w:lang w:val="de-DE"/>
        </w:rPr>
        <w:t xml:space="preserve">der Universitätsprofessor/inn/en </w:t>
      </w:r>
      <w:r w:rsidR="002017A6" w:rsidRPr="00D475AC">
        <w:rPr>
          <w:rFonts w:ascii="Times New Roman" w:hAnsi="Times New Roman" w:cs="Times New Roman"/>
          <w:sz w:val="24"/>
          <w:szCs w:val="24"/>
          <w:lang w:val="de-DE"/>
        </w:rPr>
        <w:t>des fachlichen Bereichs der Universität auszuwählen, dem die Stelle zugeordnet ist.</w:t>
      </w:r>
      <w:r w:rsidRPr="00D475AC">
        <w:rPr>
          <w:rFonts w:ascii="Times New Roman" w:hAnsi="Times New Roman" w:cs="Times New Roman"/>
          <w:sz w:val="24"/>
          <w:szCs w:val="24"/>
          <w:lang w:val="de-DE"/>
        </w:rPr>
        <w:t xml:space="preserve"> </w:t>
      </w:r>
    </w:p>
    <w:p w14:paraId="2554BA4E" w14:textId="1322CF43" w:rsidR="00686E45" w:rsidRPr="00D475AC" w:rsidRDefault="00024D02" w:rsidP="00D475AC">
      <w:pPr>
        <w:spacing w:line="360" w:lineRule="auto"/>
        <w:jc w:val="both"/>
        <w:rPr>
          <w:rFonts w:ascii="Times New Roman" w:hAnsi="Times New Roman" w:cs="Times New Roman"/>
          <w:sz w:val="24"/>
          <w:szCs w:val="24"/>
          <w:lang w:val="de-DE"/>
        </w:rPr>
      </w:pPr>
      <w:r w:rsidRPr="00D475AC">
        <w:rPr>
          <w:rFonts w:ascii="Times New Roman" w:hAnsi="Times New Roman" w:cs="Times New Roman"/>
          <w:sz w:val="24"/>
          <w:szCs w:val="24"/>
          <w:lang w:val="de-DE"/>
        </w:rPr>
        <w:t xml:space="preserve">Die UG-Novelle BGBl </w:t>
      </w:r>
      <w:r w:rsidR="0037657E">
        <w:rPr>
          <w:rFonts w:ascii="Times New Roman" w:hAnsi="Times New Roman" w:cs="Times New Roman"/>
          <w:sz w:val="24"/>
          <w:szCs w:val="24"/>
          <w:lang w:val="de-DE"/>
        </w:rPr>
        <w:t>I 2009/81</w:t>
      </w:r>
      <w:r w:rsidRPr="00D475AC">
        <w:rPr>
          <w:rFonts w:ascii="Times New Roman" w:hAnsi="Times New Roman" w:cs="Times New Roman"/>
          <w:sz w:val="24"/>
          <w:szCs w:val="24"/>
          <w:lang w:val="de-DE"/>
        </w:rPr>
        <w:t xml:space="preserve"> eröffnete eine weitere Möglichkeit, Universitätsprofessor/in zu werden</w:t>
      </w:r>
      <w:r w:rsidR="0037657E">
        <w:rPr>
          <w:rFonts w:ascii="Times New Roman" w:hAnsi="Times New Roman" w:cs="Times New Roman"/>
          <w:sz w:val="24"/>
          <w:szCs w:val="24"/>
          <w:lang w:val="de-DE"/>
        </w:rPr>
        <w:t>:</w:t>
      </w:r>
      <w:r w:rsidRPr="00D475AC">
        <w:rPr>
          <w:rFonts w:ascii="Times New Roman" w:hAnsi="Times New Roman" w:cs="Times New Roman"/>
          <w:sz w:val="24"/>
          <w:szCs w:val="24"/>
          <w:lang w:val="de-DE"/>
        </w:rPr>
        <w:t xml:space="preserve"> Durch Verordnung des </w:t>
      </w:r>
      <w:r w:rsidR="007E7DB4">
        <w:rPr>
          <w:rFonts w:ascii="Times New Roman" w:hAnsi="Times New Roman" w:cs="Times New Roman"/>
          <w:sz w:val="24"/>
          <w:szCs w:val="24"/>
          <w:lang w:val="de-DE"/>
        </w:rPr>
        <w:t>Rektorats</w:t>
      </w:r>
      <w:r w:rsidRPr="00D475AC">
        <w:rPr>
          <w:rFonts w:ascii="Times New Roman" w:hAnsi="Times New Roman" w:cs="Times New Roman"/>
          <w:sz w:val="24"/>
          <w:szCs w:val="24"/>
          <w:lang w:val="de-DE"/>
        </w:rPr>
        <w:t>, die der Genehmigung des Universitätsrats bedarf, k</w:t>
      </w:r>
      <w:r w:rsidR="00780614" w:rsidRPr="00D475AC">
        <w:rPr>
          <w:rFonts w:ascii="Times New Roman" w:hAnsi="Times New Roman" w:cs="Times New Roman"/>
          <w:sz w:val="24"/>
          <w:szCs w:val="24"/>
          <w:lang w:val="de-DE"/>
        </w:rPr>
        <w:t>onnte nach § 99 Abs 3 UG</w:t>
      </w:r>
      <w:r w:rsidRPr="00D475AC">
        <w:rPr>
          <w:rFonts w:ascii="Times New Roman" w:hAnsi="Times New Roman" w:cs="Times New Roman"/>
          <w:sz w:val="24"/>
          <w:szCs w:val="24"/>
          <w:lang w:val="de-DE"/>
        </w:rPr>
        <w:t xml:space="preserve"> einmalig eine Anzahl von Stellen für Universitätsprofessorinnen oder Universitätsprofessoren festgelegt werden, die für einen Zeitraum von bis zu sechs Jahren gewidmet sind und nur für Universitätsdozent</w:t>
      </w:r>
      <w:r w:rsidR="0065002C">
        <w:rPr>
          <w:rFonts w:ascii="Times New Roman" w:hAnsi="Times New Roman" w:cs="Times New Roman"/>
          <w:sz w:val="24"/>
          <w:szCs w:val="24"/>
          <w:lang w:val="de-DE"/>
        </w:rPr>
        <w:t>/</w:t>
      </w:r>
      <w:r w:rsidRPr="00D475AC">
        <w:rPr>
          <w:rFonts w:ascii="Times New Roman" w:hAnsi="Times New Roman" w:cs="Times New Roman"/>
          <w:sz w:val="24"/>
          <w:szCs w:val="24"/>
          <w:lang w:val="de-DE"/>
        </w:rPr>
        <w:t>inn</w:t>
      </w:r>
      <w:r w:rsidR="0065002C">
        <w:rPr>
          <w:rFonts w:ascii="Times New Roman" w:hAnsi="Times New Roman" w:cs="Times New Roman"/>
          <w:sz w:val="24"/>
          <w:szCs w:val="24"/>
          <w:lang w:val="de-DE"/>
        </w:rPr>
        <w:t>/</w:t>
      </w:r>
      <w:r w:rsidRPr="00D475AC">
        <w:rPr>
          <w:rFonts w:ascii="Times New Roman" w:hAnsi="Times New Roman" w:cs="Times New Roman"/>
          <w:sz w:val="24"/>
          <w:szCs w:val="24"/>
          <w:lang w:val="de-DE"/>
        </w:rPr>
        <w:t>en gemäß § 94 Abs 2 Z 2 vorgesehen sind. Die Anzahl d</w:t>
      </w:r>
      <w:r w:rsidR="00780614" w:rsidRPr="00D475AC">
        <w:rPr>
          <w:rFonts w:ascii="Times New Roman" w:hAnsi="Times New Roman" w:cs="Times New Roman"/>
          <w:sz w:val="24"/>
          <w:szCs w:val="24"/>
          <w:lang w:val="de-DE"/>
        </w:rPr>
        <w:t>u</w:t>
      </w:r>
      <w:r w:rsidRPr="00D475AC">
        <w:rPr>
          <w:rFonts w:ascii="Times New Roman" w:hAnsi="Times New Roman" w:cs="Times New Roman"/>
          <w:sz w:val="24"/>
          <w:szCs w:val="24"/>
          <w:lang w:val="de-DE"/>
        </w:rPr>
        <w:t>rf</w:t>
      </w:r>
      <w:r w:rsidR="00780614" w:rsidRPr="00D475AC">
        <w:rPr>
          <w:rFonts w:ascii="Times New Roman" w:hAnsi="Times New Roman" w:cs="Times New Roman"/>
          <w:sz w:val="24"/>
          <w:szCs w:val="24"/>
          <w:lang w:val="de-DE"/>
        </w:rPr>
        <w:t>te</w:t>
      </w:r>
      <w:r w:rsidRPr="00D475AC">
        <w:rPr>
          <w:rFonts w:ascii="Times New Roman" w:hAnsi="Times New Roman" w:cs="Times New Roman"/>
          <w:sz w:val="24"/>
          <w:szCs w:val="24"/>
          <w:lang w:val="de-DE"/>
        </w:rPr>
        <w:t xml:space="preserve"> bis zu 20 vH der Stellen gemäß § 122 Abs 2 Z 4 umfassen. </w:t>
      </w:r>
      <w:r w:rsidR="0065002C">
        <w:rPr>
          <w:rFonts w:ascii="Times New Roman" w:hAnsi="Times New Roman" w:cs="Times New Roman"/>
          <w:sz w:val="24"/>
          <w:szCs w:val="24"/>
          <w:lang w:val="de-DE"/>
        </w:rPr>
        <w:t xml:space="preserve">Manche Universitäten haben die damals festgelegte Anzahl noch nicht ausgeschöpft und können nach wie vor Stellen auf Grundlage dieser Verordnung ausschreiben. </w:t>
      </w:r>
      <w:r w:rsidRPr="00D475AC">
        <w:rPr>
          <w:rFonts w:ascii="Times New Roman" w:hAnsi="Times New Roman" w:cs="Times New Roman"/>
          <w:sz w:val="24"/>
          <w:szCs w:val="24"/>
          <w:lang w:val="de-DE"/>
        </w:rPr>
        <w:t xml:space="preserve">§ 98 Abs 1 bis 8 </w:t>
      </w:r>
      <w:r w:rsidR="0065002C">
        <w:rPr>
          <w:rFonts w:ascii="Times New Roman" w:hAnsi="Times New Roman" w:cs="Times New Roman"/>
          <w:sz w:val="24"/>
          <w:szCs w:val="24"/>
          <w:lang w:val="de-DE"/>
        </w:rPr>
        <w:t xml:space="preserve">UG </w:t>
      </w:r>
      <w:r w:rsidRPr="00D475AC">
        <w:rPr>
          <w:rFonts w:ascii="Times New Roman" w:hAnsi="Times New Roman" w:cs="Times New Roman"/>
          <w:sz w:val="24"/>
          <w:szCs w:val="24"/>
          <w:lang w:val="de-DE"/>
        </w:rPr>
        <w:t xml:space="preserve">sind </w:t>
      </w:r>
      <w:r w:rsidR="00686E45" w:rsidRPr="00D475AC">
        <w:rPr>
          <w:rFonts w:ascii="Times New Roman" w:hAnsi="Times New Roman" w:cs="Times New Roman"/>
          <w:sz w:val="24"/>
          <w:szCs w:val="24"/>
          <w:lang w:val="de-DE"/>
        </w:rPr>
        <w:t>in diese</w:t>
      </w:r>
      <w:r w:rsidR="0065002C">
        <w:rPr>
          <w:rFonts w:ascii="Times New Roman" w:hAnsi="Times New Roman" w:cs="Times New Roman"/>
          <w:sz w:val="24"/>
          <w:szCs w:val="24"/>
          <w:lang w:val="de-DE"/>
        </w:rPr>
        <w:t>n</w:t>
      </w:r>
      <w:r w:rsidR="00686E45" w:rsidRPr="00D475AC">
        <w:rPr>
          <w:rFonts w:ascii="Times New Roman" w:hAnsi="Times New Roman" w:cs="Times New Roman"/>
          <w:sz w:val="24"/>
          <w:szCs w:val="24"/>
          <w:lang w:val="de-DE"/>
        </w:rPr>
        <w:t xml:space="preserve"> Verfahren </w:t>
      </w:r>
      <w:r w:rsidRPr="00D475AC">
        <w:rPr>
          <w:rFonts w:ascii="Times New Roman" w:hAnsi="Times New Roman" w:cs="Times New Roman"/>
          <w:sz w:val="24"/>
          <w:szCs w:val="24"/>
          <w:lang w:val="de-DE"/>
        </w:rPr>
        <w:t xml:space="preserve">nicht anzuwenden. Die Stellen sind im Mitteilungsblatt der Universität auszuschreiben. Die Rektorin oder der Rektor hat die Stellen nach Durchführung eines Auswahlverfahrens, das internationalen kompetitiven Standards entspricht, zu besetzen. Eine unbefristete Verlängerung der Bestellung durch die Rektorin oder den Rektor ist nur nach </w:t>
      </w:r>
      <w:r w:rsidRPr="00D475AC">
        <w:rPr>
          <w:rFonts w:ascii="Times New Roman" w:hAnsi="Times New Roman" w:cs="Times New Roman"/>
          <w:sz w:val="24"/>
          <w:szCs w:val="24"/>
          <w:lang w:val="de-DE"/>
        </w:rPr>
        <w:lastRenderedPageBreak/>
        <w:t xml:space="preserve">Durchführung einer Qualifikationsprüfung zulässig. Inhalt der Qualifikationsprüfung ist die Qualität der wissenschaftlichen Leistungen sowie der Leistungen in der Lehre der letzten fünf Jahre. Die Durchführung der Qualifikationsprüfung hat </w:t>
      </w:r>
      <w:r w:rsidR="00686E45" w:rsidRPr="00D475AC">
        <w:rPr>
          <w:rFonts w:ascii="Times New Roman" w:hAnsi="Times New Roman" w:cs="Times New Roman"/>
          <w:sz w:val="24"/>
          <w:szCs w:val="24"/>
          <w:lang w:val="de-DE"/>
        </w:rPr>
        <w:t xml:space="preserve">ebenfalls </w:t>
      </w:r>
      <w:r w:rsidRPr="00D475AC">
        <w:rPr>
          <w:rFonts w:ascii="Times New Roman" w:hAnsi="Times New Roman" w:cs="Times New Roman"/>
          <w:sz w:val="24"/>
          <w:szCs w:val="24"/>
          <w:lang w:val="de-DE"/>
        </w:rPr>
        <w:t>internationalen kompetitiven Standards zu entsprechen</w:t>
      </w:r>
      <w:r w:rsidR="00686E45" w:rsidRPr="00D475AC">
        <w:rPr>
          <w:rFonts w:ascii="Times New Roman" w:hAnsi="Times New Roman" w:cs="Times New Roman"/>
          <w:sz w:val="24"/>
          <w:szCs w:val="24"/>
          <w:lang w:val="de-DE"/>
        </w:rPr>
        <w:t>.</w:t>
      </w:r>
    </w:p>
    <w:p w14:paraId="2554BA4F" w14:textId="22EB498B" w:rsidR="00F537B1" w:rsidRPr="00D475AC" w:rsidRDefault="00686E45" w:rsidP="00D475AC">
      <w:pPr>
        <w:spacing w:line="360" w:lineRule="auto"/>
        <w:jc w:val="both"/>
        <w:rPr>
          <w:rFonts w:ascii="Times New Roman" w:hAnsi="Times New Roman" w:cs="Times New Roman"/>
          <w:sz w:val="24"/>
          <w:szCs w:val="24"/>
          <w:lang w:val="de-DE"/>
        </w:rPr>
      </w:pPr>
      <w:r w:rsidRPr="00D475AC">
        <w:rPr>
          <w:rFonts w:ascii="Times New Roman" w:hAnsi="Times New Roman" w:cs="Times New Roman"/>
          <w:sz w:val="24"/>
          <w:szCs w:val="24"/>
          <w:lang w:val="de-DE"/>
        </w:rPr>
        <w:t xml:space="preserve">Die UG-Novelle BGBl I 2015/131 schuf schließlich </w:t>
      </w:r>
      <w:r w:rsidR="00FC746F">
        <w:rPr>
          <w:rFonts w:ascii="Times New Roman" w:hAnsi="Times New Roman" w:cs="Times New Roman"/>
          <w:sz w:val="24"/>
          <w:szCs w:val="24"/>
          <w:lang w:val="de-DE"/>
        </w:rPr>
        <w:t xml:space="preserve">mit § 99 Abs 5 und 6 UG </w:t>
      </w:r>
      <w:r w:rsidRPr="00D475AC">
        <w:rPr>
          <w:rFonts w:ascii="Times New Roman" w:hAnsi="Times New Roman" w:cs="Times New Roman"/>
          <w:sz w:val="24"/>
          <w:szCs w:val="24"/>
          <w:lang w:val="de-DE"/>
        </w:rPr>
        <w:t>die gesetzlichen Grundlagen für ein Tenure Track-Modell, nach dem künftig Assoziierte Professor/inn/en dem wissenschaftli</w:t>
      </w:r>
      <w:r w:rsidR="00F2345F">
        <w:rPr>
          <w:rFonts w:ascii="Times New Roman" w:hAnsi="Times New Roman" w:cs="Times New Roman"/>
          <w:sz w:val="24"/>
          <w:szCs w:val="24"/>
          <w:lang w:val="de-DE"/>
        </w:rPr>
        <w:t>c</w:t>
      </w:r>
      <w:r w:rsidRPr="00D475AC">
        <w:rPr>
          <w:rFonts w:ascii="Times New Roman" w:hAnsi="Times New Roman" w:cs="Times New Roman"/>
          <w:sz w:val="24"/>
          <w:szCs w:val="24"/>
          <w:lang w:val="de-DE"/>
        </w:rPr>
        <w:t xml:space="preserve">hen und künstlerischen Personal gemäß § 94 Abs 2 Z 1 UG angehören und letztlich Universitätsprofessor/inn/en organisationsrechtlich – allerdings nicht arbeitsrechtlich – gleichgestellt sind. Voraussetzung dafür ist, dass sie ein Auswahlverfahren nach § 99 Abs 5 UG durchlaufen </w:t>
      </w:r>
      <w:r w:rsidR="00F537B1" w:rsidRPr="00D475AC">
        <w:rPr>
          <w:rFonts w:ascii="Times New Roman" w:hAnsi="Times New Roman" w:cs="Times New Roman"/>
          <w:sz w:val="24"/>
          <w:szCs w:val="24"/>
          <w:lang w:val="de-DE"/>
        </w:rPr>
        <w:t>und die Qualifikation nach § 27 Abs 5 des Kollektivvertrages erreicht haben.</w:t>
      </w:r>
      <w:r w:rsidRPr="00D475AC">
        <w:rPr>
          <w:rFonts w:ascii="Times New Roman" w:hAnsi="Times New Roman" w:cs="Times New Roman"/>
          <w:sz w:val="24"/>
          <w:szCs w:val="24"/>
          <w:lang w:val="de-DE"/>
        </w:rPr>
        <w:t xml:space="preserve"> </w:t>
      </w:r>
      <w:r w:rsidR="00F537B1" w:rsidRPr="00D475AC">
        <w:rPr>
          <w:rFonts w:ascii="Times New Roman" w:hAnsi="Times New Roman" w:cs="Times New Roman"/>
          <w:sz w:val="24"/>
          <w:szCs w:val="24"/>
          <w:lang w:val="de-DE"/>
        </w:rPr>
        <w:t>Das Auswahlverfahren muss internationalen kompetitiven Standards entsprechen, insbesondere ist die Stelle international auszuschreiben. Zum Ergebnis des Auswahlverfahrens sind die Universitätsprofessor/inn/en des betreffenden Fachbereichs anzuhören.</w:t>
      </w:r>
    </w:p>
    <w:p w14:paraId="2554BA51" w14:textId="79DE3EAF" w:rsidR="00EE42B9" w:rsidRPr="00D475AC" w:rsidRDefault="00F537B1" w:rsidP="00D475AC">
      <w:pPr>
        <w:spacing w:line="360" w:lineRule="auto"/>
        <w:jc w:val="both"/>
        <w:rPr>
          <w:rFonts w:ascii="Times New Roman" w:hAnsi="Times New Roman" w:cs="Times New Roman"/>
          <w:sz w:val="24"/>
          <w:szCs w:val="24"/>
          <w:lang w:val="de-DE"/>
        </w:rPr>
      </w:pPr>
      <w:r w:rsidRPr="00D475AC">
        <w:rPr>
          <w:rFonts w:ascii="Times New Roman" w:hAnsi="Times New Roman" w:cs="Times New Roman"/>
          <w:sz w:val="24"/>
          <w:szCs w:val="24"/>
          <w:lang w:val="de-DE"/>
        </w:rPr>
        <w:t xml:space="preserve">§ 99 Abs 4 UG ergänzt die Vorschriften des § 99 Abs 5 und 6 UG und </w:t>
      </w:r>
      <w:r w:rsidR="00604BFE">
        <w:rPr>
          <w:rFonts w:ascii="Times New Roman" w:hAnsi="Times New Roman" w:cs="Times New Roman"/>
          <w:sz w:val="24"/>
          <w:szCs w:val="24"/>
          <w:lang w:val="de-DE"/>
        </w:rPr>
        <w:t>sieht</w:t>
      </w:r>
      <w:r w:rsidR="00604BFE" w:rsidRPr="00D475AC">
        <w:rPr>
          <w:rFonts w:ascii="Times New Roman" w:hAnsi="Times New Roman" w:cs="Times New Roman"/>
          <w:sz w:val="24"/>
          <w:szCs w:val="24"/>
          <w:lang w:val="de-DE"/>
        </w:rPr>
        <w:t xml:space="preserve"> </w:t>
      </w:r>
      <w:r w:rsidRPr="00D475AC">
        <w:rPr>
          <w:rFonts w:ascii="Times New Roman" w:hAnsi="Times New Roman" w:cs="Times New Roman"/>
          <w:sz w:val="24"/>
          <w:szCs w:val="24"/>
          <w:lang w:val="de-DE"/>
        </w:rPr>
        <w:t xml:space="preserve">eine weitere </w:t>
      </w:r>
      <w:r w:rsidR="00604BFE">
        <w:rPr>
          <w:rFonts w:ascii="Times New Roman" w:hAnsi="Times New Roman" w:cs="Times New Roman"/>
          <w:sz w:val="24"/>
          <w:szCs w:val="24"/>
          <w:lang w:val="de-DE"/>
        </w:rPr>
        <w:t xml:space="preserve">Möglichkeit vor, </w:t>
      </w:r>
      <w:r w:rsidRPr="00D475AC">
        <w:rPr>
          <w:rFonts w:ascii="Times New Roman" w:hAnsi="Times New Roman" w:cs="Times New Roman"/>
          <w:sz w:val="24"/>
          <w:szCs w:val="24"/>
          <w:lang w:val="de-DE"/>
        </w:rPr>
        <w:t>Universitätsprofessor/in</w:t>
      </w:r>
      <w:r w:rsidR="00604BFE">
        <w:rPr>
          <w:rFonts w:ascii="Times New Roman" w:hAnsi="Times New Roman" w:cs="Times New Roman"/>
          <w:sz w:val="24"/>
          <w:szCs w:val="24"/>
          <w:lang w:val="de-DE"/>
        </w:rPr>
        <w:t xml:space="preserve"> zu werden</w:t>
      </w:r>
      <w:r w:rsidR="0065002C">
        <w:rPr>
          <w:rFonts w:ascii="Times New Roman" w:hAnsi="Times New Roman" w:cs="Times New Roman"/>
          <w:sz w:val="24"/>
          <w:szCs w:val="24"/>
          <w:lang w:val="de-DE"/>
        </w:rPr>
        <w:t>.</w:t>
      </w:r>
      <w:r w:rsidRPr="00D475AC">
        <w:rPr>
          <w:rFonts w:ascii="Times New Roman" w:hAnsi="Times New Roman" w:cs="Times New Roman"/>
          <w:sz w:val="24"/>
          <w:szCs w:val="24"/>
          <w:lang w:val="de-DE"/>
        </w:rPr>
        <w:t xml:space="preserve"> Universitätsdozent/inn/en gemäß § 94 Abs 2 Z 2 UG </w:t>
      </w:r>
      <w:r w:rsidR="00604BFE">
        <w:rPr>
          <w:rFonts w:ascii="Times New Roman" w:hAnsi="Times New Roman" w:cs="Times New Roman"/>
          <w:sz w:val="24"/>
          <w:szCs w:val="24"/>
          <w:lang w:val="de-DE"/>
        </w:rPr>
        <w:t xml:space="preserve">und Assoziierte Professor/inn/en können diesen Status sowohl in organisationsrechtlicher als auch in arbeitsrechtlicher Hinsicht erlangen. </w:t>
      </w:r>
      <w:r w:rsidR="0054512D">
        <w:rPr>
          <w:rFonts w:ascii="Times New Roman" w:hAnsi="Times New Roman" w:cs="Times New Roman"/>
          <w:sz w:val="24"/>
          <w:szCs w:val="24"/>
          <w:lang w:val="de-DE"/>
        </w:rPr>
        <w:t xml:space="preserve">Nach </w:t>
      </w:r>
      <w:r w:rsidR="006673F6" w:rsidRPr="00D475AC">
        <w:rPr>
          <w:rFonts w:ascii="Times New Roman" w:hAnsi="Times New Roman" w:cs="Times New Roman"/>
          <w:sz w:val="24"/>
          <w:szCs w:val="24"/>
          <w:lang w:val="de-DE"/>
        </w:rPr>
        <w:t xml:space="preserve">§ 99 Abs 4 UG </w:t>
      </w:r>
      <w:r w:rsidR="0054512D">
        <w:rPr>
          <w:rFonts w:ascii="Times New Roman" w:hAnsi="Times New Roman" w:cs="Times New Roman"/>
          <w:sz w:val="24"/>
          <w:szCs w:val="24"/>
          <w:lang w:val="de-DE"/>
        </w:rPr>
        <w:t>ist</w:t>
      </w:r>
      <w:r w:rsidR="006673F6" w:rsidRPr="00D475AC">
        <w:rPr>
          <w:rFonts w:ascii="Times New Roman" w:hAnsi="Times New Roman" w:cs="Times New Roman"/>
          <w:sz w:val="24"/>
          <w:szCs w:val="24"/>
          <w:lang w:val="de-DE"/>
        </w:rPr>
        <w:t xml:space="preserve"> im Entwicklungsplan </w:t>
      </w:r>
      <w:r w:rsidR="0054512D">
        <w:rPr>
          <w:rFonts w:ascii="Times New Roman" w:hAnsi="Times New Roman" w:cs="Times New Roman"/>
          <w:sz w:val="24"/>
          <w:szCs w:val="24"/>
          <w:lang w:val="de-DE"/>
        </w:rPr>
        <w:t xml:space="preserve">jeweils </w:t>
      </w:r>
      <w:r w:rsidR="006673F6" w:rsidRPr="00D475AC">
        <w:rPr>
          <w:rFonts w:ascii="Times New Roman" w:hAnsi="Times New Roman" w:cs="Times New Roman"/>
          <w:sz w:val="24"/>
          <w:szCs w:val="24"/>
          <w:lang w:val="de-DE"/>
        </w:rPr>
        <w:t xml:space="preserve">eine Anzahl von Stellen </w:t>
      </w:r>
      <w:r w:rsidR="00E12EF3">
        <w:rPr>
          <w:rFonts w:ascii="Times New Roman" w:hAnsi="Times New Roman" w:cs="Times New Roman"/>
          <w:sz w:val="24"/>
          <w:szCs w:val="24"/>
          <w:lang w:val="de-DE"/>
        </w:rPr>
        <w:t xml:space="preserve">für diese Personen </w:t>
      </w:r>
      <w:r w:rsidR="006673F6" w:rsidRPr="00D475AC">
        <w:rPr>
          <w:rFonts w:ascii="Times New Roman" w:hAnsi="Times New Roman" w:cs="Times New Roman"/>
          <w:sz w:val="24"/>
          <w:szCs w:val="24"/>
          <w:lang w:val="de-DE"/>
        </w:rPr>
        <w:t>festzulegen, die zu Universitätsprofessor/inn/en berufen werden können. Für dieses „vereinfachte Verfahren“ der Berufung zu Universitätsprofessor/inn/en</w:t>
      </w:r>
      <w:r w:rsidR="00A13EE9" w:rsidRPr="00D475AC">
        <w:rPr>
          <w:rFonts w:ascii="Times New Roman" w:hAnsi="Times New Roman" w:cs="Times New Roman"/>
          <w:sz w:val="24"/>
          <w:szCs w:val="24"/>
          <w:lang w:val="de-DE"/>
        </w:rPr>
        <w:t>, das in diesem Beitrag näher erläutert werden soll, sieht § 99 Abs 4 UG folgende Rahmenbedingungen vor:</w:t>
      </w:r>
      <w:r w:rsidR="006673F6" w:rsidRPr="00D475AC">
        <w:rPr>
          <w:rFonts w:ascii="Times New Roman" w:hAnsi="Times New Roman" w:cs="Times New Roman"/>
          <w:sz w:val="24"/>
          <w:szCs w:val="24"/>
          <w:lang w:val="de-DE"/>
        </w:rPr>
        <w:t xml:space="preserve"> </w:t>
      </w:r>
      <w:r w:rsidR="00A13EE9" w:rsidRPr="00D475AC">
        <w:rPr>
          <w:rFonts w:ascii="Times New Roman" w:hAnsi="Times New Roman" w:cs="Times New Roman"/>
          <w:sz w:val="24"/>
          <w:szCs w:val="24"/>
          <w:lang w:val="de-DE"/>
        </w:rPr>
        <w:t>„Die Rektorin oder der Rektor hat die Kandidatin oder den Kandidaten für die zu besetzende Stelle nach Anhörung der Universitätsprofessorinnen und Universitätsprofessoren des fachlichen Bereichs der Universität, dem die Stelle zugeordnet ist, sowie des Arbeitskreises für Gleichbehandlungsfragen auszuwählen. Nähere Bestimmungen sind in der Satzung festzulegen.“</w:t>
      </w:r>
      <w:r w:rsidR="006673F6" w:rsidRPr="00D475AC">
        <w:rPr>
          <w:rFonts w:ascii="Times New Roman" w:hAnsi="Times New Roman" w:cs="Times New Roman"/>
          <w:sz w:val="24"/>
          <w:szCs w:val="24"/>
          <w:lang w:val="de-DE"/>
        </w:rPr>
        <w:t xml:space="preserve">  </w:t>
      </w:r>
      <w:r w:rsidRPr="00D475AC">
        <w:rPr>
          <w:rFonts w:ascii="Times New Roman" w:hAnsi="Times New Roman" w:cs="Times New Roman"/>
          <w:sz w:val="24"/>
          <w:szCs w:val="24"/>
          <w:lang w:val="de-DE"/>
        </w:rPr>
        <w:t xml:space="preserve">   </w:t>
      </w:r>
      <w:r w:rsidR="00595C10" w:rsidRPr="00D475AC">
        <w:rPr>
          <w:rFonts w:ascii="Times New Roman" w:hAnsi="Times New Roman" w:cs="Times New Roman"/>
          <w:sz w:val="24"/>
          <w:szCs w:val="24"/>
          <w:lang w:val="de-DE"/>
        </w:rPr>
        <w:t xml:space="preserve"> </w:t>
      </w:r>
      <w:r w:rsidR="006416D7" w:rsidRPr="00D475AC">
        <w:rPr>
          <w:rFonts w:ascii="Times New Roman" w:hAnsi="Times New Roman" w:cs="Times New Roman"/>
          <w:sz w:val="24"/>
          <w:szCs w:val="24"/>
          <w:lang w:val="de-DE"/>
        </w:rPr>
        <w:t xml:space="preserve"> </w:t>
      </w:r>
      <w:r w:rsidR="00EE42B9" w:rsidRPr="00D475AC">
        <w:rPr>
          <w:rFonts w:ascii="Times New Roman" w:hAnsi="Times New Roman" w:cs="Times New Roman"/>
          <w:sz w:val="24"/>
          <w:szCs w:val="24"/>
          <w:lang w:val="de-DE"/>
        </w:rPr>
        <w:t xml:space="preserve"> </w:t>
      </w:r>
    </w:p>
    <w:p w14:paraId="2554BA52" w14:textId="77777777" w:rsidR="00711DEE" w:rsidRPr="00E12EF3" w:rsidRDefault="00711DEE" w:rsidP="00D475AC">
      <w:pPr>
        <w:spacing w:line="360" w:lineRule="auto"/>
        <w:jc w:val="both"/>
        <w:rPr>
          <w:rFonts w:ascii="Times New Roman" w:hAnsi="Times New Roman" w:cs="Times New Roman"/>
          <w:b/>
          <w:sz w:val="24"/>
          <w:szCs w:val="24"/>
          <w:lang w:val="de-DE"/>
        </w:rPr>
      </w:pPr>
    </w:p>
    <w:p w14:paraId="2554BA53" w14:textId="77777777" w:rsidR="00711DEE" w:rsidRPr="00E12EF3" w:rsidRDefault="00711DEE" w:rsidP="00D475AC">
      <w:pPr>
        <w:pStyle w:val="Listenabsatz"/>
        <w:numPr>
          <w:ilvl w:val="0"/>
          <w:numId w:val="1"/>
        </w:numPr>
        <w:spacing w:line="360" w:lineRule="auto"/>
        <w:jc w:val="both"/>
        <w:rPr>
          <w:rFonts w:ascii="Times New Roman" w:hAnsi="Times New Roman" w:cs="Times New Roman"/>
          <w:b/>
          <w:sz w:val="24"/>
          <w:szCs w:val="24"/>
          <w:lang w:val="de-DE"/>
        </w:rPr>
      </w:pPr>
      <w:r w:rsidRPr="00E12EF3">
        <w:rPr>
          <w:rFonts w:ascii="Times New Roman" w:hAnsi="Times New Roman" w:cs="Times New Roman"/>
          <w:b/>
          <w:sz w:val="24"/>
          <w:szCs w:val="24"/>
          <w:lang w:val="de-DE"/>
        </w:rPr>
        <w:t xml:space="preserve">Die </w:t>
      </w:r>
      <w:r w:rsidR="000015E9" w:rsidRPr="00E12EF3">
        <w:rPr>
          <w:rFonts w:ascii="Times New Roman" w:hAnsi="Times New Roman" w:cs="Times New Roman"/>
          <w:b/>
          <w:sz w:val="24"/>
          <w:szCs w:val="24"/>
          <w:lang w:val="de-DE"/>
        </w:rPr>
        <w:t>Festlegungen im Entwicklungsplan</w:t>
      </w:r>
    </w:p>
    <w:p w14:paraId="2554BA54" w14:textId="40980D8E" w:rsidR="00621DC6" w:rsidRPr="00621DC6" w:rsidRDefault="000015E9" w:rsidP="00621DC6">
      <w:pPr>
        <w:spacing w:line="360" w:lineRule="auto"/>
        <w:jc w:val="both"/>
        <w:rPr>
          <w:rFonts w:ascii="Times New Roman" w:hAnsi="Times New Roman" w:cs="Times New Roman"/>
          <w:sz w:val="24"/>
          <w:szCs w:val="24"/>
        </w:rPr>
      </w:pPr>
      <w:r>
        <w:rPr>
          <w:rFonts w:ascii="Times New Roman" w:hAnsi="Times New Roman" w:cs="Times New Roman"/>
          <w:sz w:val="24"/>
          <w:szCs w:val="24"/>
          <w:lang w:val="de-DE"/>
        </w:rPr>
        <w:t>Nach § 99 Abs 4 Satz 1 UG ist im Entwicklungsplan jeweils eine Anzahl von Stellen für Universitätsdozent/inn/en gemäß § 94 Abs 2 Z 2 UG und für Assoziierte Professor/inn/en festzule</w:t>
      </w:r>
      <w:r w:rsidR="00E12EF3">
        <w:rPr>
          <w:rFonts w:ascii="Times New Roman" w:hAnsi="Times New Roman" w:cs="Times New Roman"/>
          <w:sz w:val="24"/>
          <w:szCs w:val="24"/>
          <w:lang w:val="de-DE"/>
        </w:rPr>
        <w:t>g</w:t>
      </w:r>
      <w:r>
        <w:rPr>
          <w:rFonts w:ascii="Times New Roman" w:hAnsi="Times New Roman" w:cs="Times New Roman"/>
          <w:sz w:val="24"/>
          <w:szCs w:val="24"/>
          <w:lang w:val="de-DE"/>
        </w:rPr>
        <w:t>en, die jeweils in einem vereinfachten Verfahren zu Universitätsprofessor</w:t>
      </w:r>
      <w:r w:rsidR="00E12EF3">
        <w:rPr>
          <w:rFonts w:ascii="Times New Roman" w:hAnsi="Times New Roman" w:cs="Times New Roman"/>
          <w:sz w:val="24"/>
          <w:szCs w:val="24"/>
          <w:lang w:val="de-DE"/>
        </w:rPr>
        <w:t>/</w:t>
      </w:r>
      <w:r>
        <w:rPr>
          <w:rFonts w:ascii="Times New Roman" w:hAnsi="Times New Roman" w:cs="Times New Roman"/>
          <w:sz w:val="24"/>
          <w:szCs w:val="24"/>
          <w:lang w:val="de-DE"/>
        </w:rPr>
        <w:t xml:space="preserve">inn/en berufen werden können. </w:t>
      </w:r>
      <w:r w:rsidR="00E12EF3">
        <w:rPr>
          <w:rFonts w:ascii="Times New Roman" w:hAnsi="Times New Roman" w:cs="Times New Roman"/>
          <w:sz w:val="24"/>
          <w:szCs w:val="24"/>
          <w:lang w:val="de-DE"/>
        </w:rPr>
        <w:t xml:space="preserve">Der Gesetzgeber unterscheidet dabei zwischen den </w:t>
      </w:r>
      <w:r w:rsidR="0054512D">
        <w:rPr>
          <w:rFonts w:ascii="Times New Roman" w:hAnsi="Times New Roman" w:cs="Times New Roman"/>
          <w:sz w:val="24"/>
          <w:szCs w:val="24"/>
          <w:lang w:val="de-DE"/>
        </w:rPr>
        <w:t xml:space="preserve">Wörtern </w:t>
      </w:r>
      <w:r w:rsidR="00E12EF3">
        <w:rPr>
          <w:rFonts w:ascii="Times New Roman" w:hAnsi="Times New Roman" w:cs="Times New Roman"/>
          <w:sz w:val="24"/>
          <w:szCs w:val="24"/>
          <w:lang w:val="de-DE"/>
        </w:rPr>
        <w:t xml:space="preserve">„festzulegen“ und „auszuweisen“: </w:t>
      </w:r>
      <w:r w:rsidR="00621DC6" w:rsidRPr="00621DC6">
        <w:rPr>
          <w:rFonts w:ascii="Times New Roman" w:hAnsi="Times New Roman" w:cs="Times New Roman"/>
          <w:sz w:val="24"/>
          <w:szCs w:val="24"/>
        </w:rPr>
        <w:t>Wenn § 13b Abs 3 UG – anders</w:t>
      </w:r>
      <w:r w:rsidR="00621DC6">
        <w:rPr>
          <w:rFonts w:ascii="Times New Roman" w:hAnsi="Times New Roman" w:cs="Times New Roman"/>
          <w:sz w:val="24"/>
          <w:szCs w:val="24"/>
        </w:rPr>
        <w:t xml:space="preserve"> </w:t>
      </w:r>
      <w:r w:rsidR="00621DC6" w:rsidRPr="00621DC6">
        <w:rPr>
          <w:rFonts w:ascii="Times New Roman" w:hAnsi="Times New Roman" w:cs="Times New Roman"/>
          <w:sz w:val="24"/>
          <w:szCs w:val="24"/>
        </w:rPr>
        <w:t xml:space="preserve">als § 27 des Kollektivvertrages oder § 98 </w:t>
      </w:r>
      <w:r w:rsidR="00621DC6" w:rsidRPr="00621DC6">
        <w:rPr>
          <w:rFonts w:ascii="Times New Roman" w:hAnsi="Times New Roman" w:cs="Times New Roman"/>
          <w:sz w:val="24"/>
          <w:szCs w:val="24"/>
        </w:rPr>
        <w:lastRenderedPageBreak/>
        <w:t>Abs 1 oder § 99</w:t>
      </w:r>
      <w:r w:rsidR="00621DC6">
        <w:rPr>
          <w:rFonts w:ascii="Times New Roman" w:hAnsi="Times New Roman" w:cs="Times New Roman"/>
          <w:sz w:val="24"/>
          <w:szCs w:val="24"/>
        </w:rPr>
        <w:t xml:space="preserve"> </w:t>
      </w:r>
      <w:r w:rsidR="00621DC6" w:rsidRPr="00621DC6">
        <w:rPr>
          <w:rFonts w:ascii="Times New Roman" w:hAnsi="Times New Roman" w:cs="Times New Roman"/>
          <w:sz w:val="24"/>
          <w:szCs w:val="24"/>
        </w:rPr>
        <w:t>Abs 4 UG – davon spricht, dass die Anzahl der Stellen,</w:t>
      </w:r>
      <w:r w:rsidR="00621DC6">
        <w:rPr>
          <w:rFonts w:ascii="Times New Roman" w:hAnsi="Times New Roman" w:cs="Times New Roman"/>
          <w:sz w:val="24"/>
          <w:szCs w:val="24"/>
        </w:rPr>
        <w:t xml:space="preserve"> </w:t>
      </w:r>
      <w:r w:rsidR="00621DC6" w:rsidRPr="00621DC6">
        <w:rPr>
          <w:rFonts w:ascii="Times New Roman" w:hAnsi="Times New Roman" w:cs="Times New Roman"/>
          <w:sz w:val="24"/>
          <w:szCs w:val="24"/>
        </w:rPr>
        <w:t>die für Qualifizierungsvereinbarungen in Betracht</w:t>
      </w:r>
      <w:r w:rsidR="00621DC6">
        <w:rPr>
          <w:rFonts w:ascii="Times New Roman" w:hAnsi="Times New Roman" w:cs="Times New Roman"/>
          <w:sz w:val="24"/>
          <w:szCs w:val="24"/>
        </w:rPr>
        <w:t xml:space="preserve"> </w:t>
      </w:r>
      <w:r w:rsidR="00621DC6" w:rsidRPr="00621DC6">
        <w:rPr>
          <w:rFonts w:ascii="Times New Roman" w:hAnsi="Times New Roman" w:cs="Times New Roman"/>
          <w:sz w:val="24"/>
          <w:szCs w:val="24"/>
        </w:rPr>
        <w:t xml:space="preserve">kommen, im Entwicklungsplan „auszuweisen“ ist, </w:t>
      </w:r>
      <w:r w:rsidR="00621DC6">
        <w:rPr>
          <w:rFonts w:ascii="Times New Roman" w:hAnsi="Times New Roman" w:cs="Times New Roman"/>
          <w:sz w:val="24"/>
          <w:szCs w:val="24"/>
        </w:rPr>
        <w:t xml:space="preserve">deutet </w:t>
      </w:r>
      <w:r w:rsidR="00621DC6" w:rsidRPr="00621DC6">
        <w:rPr>
          <w:rFonts w:ascii="Times New Roman" w:hAnsi="Times New Roman" w:cs="Times New Roman"/>
          <w:sz w:val="24"/>
          <w:szCs w:val="24"/>
        </w:rPr>
        <w:t>dies darauf hin, dass die Nennung der Zahl der</w:t>
      </w:r>
      <w:r w:rsidR="00621DC6">
        <w:rPr>
          <w:rFonts w:ascii="Times New Roman" w:hAnsi="Times New Roman" w:cs="Times New Roman"/>
          <w:sz w:val="24"/>
          <w:szCs w:val="24"/>
        </w:rPr>
        <w:t xml:space="preserve"> </w:t>
      </w:r>
      <w:r w:rsidR="00621DC6" w:rsidRPr="00621DC6">
        <w:rPr>
          <w:rFonts w:ascii="Times New Roman" w:hAnsi="Times New Roman" w:cs="Times New Roman"/>
          <w:sz w:val="24"/>
          <w:szCs w:val="24"/>
        </w:rPr>
        <w:t>Stellen im Entwicklungsplan nicht Voraussetzung dafür</w:t>
      </w:r>
      <w:r w:rsidR="00621DC6">
        <w:rPr>
          <w:rFonts w:ascii="Times New Roman" w:hAnsi="Times New Roman" w:cs="Times New Roman"/>
          <w:sz w:val="24"/>
          <w:szCs w:val="24"/>
        </w:rPr>
        <w:t xml:space="preserve"> </w:t>
      </w:r>
      <w:r w:rsidR="00621DC6" w:rsidRPr="00621DC6">
        <w:rPr>
          <w:rFonts w:ascii="Times New Roman" w:hAnsi="Times New Roman" w:cs="Times New Roman"/>
          <w:sz w:val="24"/>
          <w:szCs w:val="24"/>
        </w:rPr>
        <w:t xml:space="preserve">ist, dass es </w:t>
      </w:r>
      <w:r w:rsidR="00621DC6" w:rsidRPr="00621DC6">
        <w:rPr>
          <w:rFonts w:ascii="Times New Roman" w:hAnsi="Times New Roman" w:cs="Times New Roman"/>
          <w:i/>
          <w:iCs/>
          <w:sz w:val="24"/>
          <w:szCs w:val="24"/>
        </w:rPr>
        <w:t xml:space="preserve">überhaupt erst </w:t>
      </w:r>
      <w:r w:rsidR="00621DC6" w:rsidRPr="00621DC6">
        <w:rPr>
          <w:rFonts w:ascii="Times New Roman" w:hAnsi="Times New Roman" w:cs="Times New Roman"/>
          <w:sz w:val="24"/>
          <w:szCs w:val="24"/>
        </w:rPr>
        <w:t>zur Ausschreibung kommen</w:t>
      </w:r>
      <w:r w:rsidR="00621DC6">
        <w:rPr>
          <w:rFonts w:ascii="Times New Roman" w:hAnsi="Times New Roman" w:cs="Times New Roman"/>
          <w:sz w:val="24"/>
          <w:szCs w:val="24"/>
        </w:rPr>
        <w:t xml:space="preserve"> </w:t>
      </w:r>
      <w:r w:rsidR="00621DC6" w:rsidRPr="00621DC6">
        <w:rPr>
          <w:rFonts w:ascii="Times New Roman" w:hAnsi="Times New Roman" w:cs="Times New Roman"/>
          <w:sz w:val="24"/>
          <w:szCs w:val="24"/>
        </w:rPr>
        <w:t>kann</w:t>
      </w:r>
      <w:r w:rsidR="00621DC6">
        <w:rPr>
          <w:rStyle w:val="Funotenzeichen"/>
          <w:rFonts w:ascii="Times New Roman" w:hAnsi="Times New Roman" w:cs="Times New Roman"/>
          <w:sz w:val="24"/>
          <w:szCs w:val="24"/>
        </w:rPr>
        <w:footnoteReference w:id="2"/>
      </w:r>
      <w:r w:rsidR="00621DC6" w:rsidRPr="00621DC6">
        <w:rPr>
          <w:rFonts w:ascii="Times New Roman" w:hAnsi="Times New Roman" w:cs="Times New Roman"/>
          <w:sz w:val="24"/>
          <w:szCs w:val="24"/>
        </w:rPr>
        <w:t>. Vielmehr</w:t>
      </w:r>
      <w:r w:rsidR="00621DC6">
        <w:rPr>
          <w:rFonts w:ascii="Times New Roman" w:hAnsi="Times New Roman" w:cs="Times New Roman"/>
          <w:sz w:val="24"/>
          <w:szCs w:val="24"/>
        </w:rPr>
        <w:t xml:space="preserve"> </w:t>
      </w:r>
      <w:r w:rsidR="00621DC6" w:rsidRPr="00621DC6">
        <w:rPr>
          <w:rFonts w:ascii="Times New Roman" w:hAnsi="Times New Roman" w:cs="Times New Roman"/>
          <w:sz w:val="24"/>
          <w:szCs w:val="24"/>
        </w:rPr>
        <w:t>ist die Zahl der bis dahin bereits ausgeschriebenen und</w:t>
      </w:r>
      <w:r w:rsidR="00621DC6">
        <w:rPr>
          <w:rFonts w:ascii="Times New Roman" w:hAnsi="Times New Roman" w:cs="Times New Roman"/>
          <w:sz w:val="24"/>
          <w:szCs w:val="24"/>
        </w:rPr>
        <w:t xml:space="preserve"> </w:t>
      </w:r>
      <w:r w:rsidR="00621DC6" w:rsidRPr="00621DC6">
        <w:rPr>
          <w:rFonts w:ascii="Times New Roman" w:hAnsi="Times New Roman" w:cs="Times New Roman"/>
          <w:sz w:val="24"/>
          <w:szCs w:val="24"/>
        </w:rPr>
        <w:t>zu diesem Zeitpunkt darüber hinaus für eine Ausschreibung</w:t>
      </w:r>
      <w:r w:rsidR="00621DC6">
        <w:rPr>
          <w:rFonts w:ascii="Times New Roman" w:hAnsi="Times New Roman" w:cs="Times New Roman"/>
          <w:sz w:val="24"/>
          <w:szCs w:val="24"/>
        </w:rPr>
        <w:t xml:space="preserve"> </w:t>
      </w:r>
      <w:r w:rsidR="00621DC6" w:rsidRPr="00621DC6">
        <w:rPr>
          <w:rFonts w:ascii="Times New Roman" w:hAnsi="Times New Roman" w:cs="Times New Roman"/>
          <w:sz w:val="24"/>
          <w:szCs w:val="24"/>
        </w:rPr>
        <w:t>vorgesehenen Stellen bei der nächsten Änderung</w:t>
      </w:r>
      <w:r w:rsidR="00621DC6">
        <w:rPr>
          <w:rFonts w:ascii="Times New Roman" w:hAnsi="Times New Roman" w:cs="Times New Roman"/>
          <w:sz w:val="24"/>
          <w:szCs w:val="24"/>
        </w:rPr>
        <w:t xml:space="preserve"> </w:t>
      </w:r>
      <w:r w:rsidR="00621DC6" w:rsidRPr="00621DC6">
        <w:rPr>
          <w:rFonts w:ascii="Times New Roman" w:hAnsi="Times New Roman" w:cs="Times New Roman"/>
          <w:sz w:val="24"/>
          <w:szCs w:val="24"/>
        </w:rPr>
        <w:t>des Entwicklungsplans – und eben spätestens bei seiner</w:t>
      </w:r>
      <w:r w:rsidR="00621DC6">
        <w:rPr>
          <w:rFonts w:ascii="Times New Roman" w:hAnsi="Times New Roman" w:cs="Times New Roman"/>
          <w:sz w:val="24"/>
          <w:szCs w:val="24"/>
        </w:rPr>
        <w:t xml:space="preserve"> </w:t>
      </w:r>
      <w:r w:rsidR="00621DC6" w:rsidRPr="00621DC6">
        <w:rPr>
          <w:rFonts w:ascii="Times New Roman" w:hAnsi="Times New Roman" w:cs="Times New Roman"/>
          <w:sz w:val="24"/>
          <w:szCs w:val="24"/>
        </w:rPr>
        <w:t xml:space="preserve">nach § 13b Abs 1 Satz 2 UG erforderlichen </w:t>
      </w:r>
      <w:r w:rsidR="00C050C1">
        <w:rPr>
          <w:rFonts w:ascii="Times New Roman" w:hAnsi="Times New Roman" w:cs="Times New Roman"/>
          <w:sz w:val="24"/>
          <w:szCs w:val="24"/>
        </w:rPr>
        <w:t xml:space="preserve">neuerlichen </w:t>
      </w:r>
      <w:r w:rsidR="00621DC6" w:rsidRPr="00621DC6">
        <w:rPr>
          <w:rFonts w:ascii="Times New Roman" w:hAnsi="Times New Roman" w:cs="Times New Roman"/>
          <w:sz w:val="24"/>
          <w:szCs w:val="24"/>
        </w:rPr>
        <w:t>Erstellung –</w:t>
      </w:r>
      <w:r w:rsidR="00621DC6">
        <w:rPr>
          <w:rFonts w:ascii="Times New Roman" w:hAnsi="Times New Roman" w:cs="Times New Roman"/>
          <w:sz w:val="24"/>
          <w:szCs w:val="24"/>
        </w:rPr>
        <w:t xml:space="preserve"> </w:t>
      </w:r>
      <w:r w:rsidR="00621DC6" w:rsidRPr="00621DC6">
        <w:rPr>
          <w:rFonts w:ascii="Times New Roman" w:hAnsi="Times New Roman" w:cs="Times New Roman"/>
          <w:sz w:val="24"/>
          <w:szCs w:val="24"/>
        </w:rPr>
        <w:t xml:space="preserve">anzugeben. Der </w:t>
      </w:r>
      <w:r w:rsidR="00621DC6" w:rsidRPr="00B648E7">
        <w:rPr>
          <w:rFonts w:ascii="Times New Roman" w:hAnsi="Times New Roman" w:cs="Times New Roman"/>
          <w:i/>
          <w:sz w:val="24"/>
          <w:szCs w:val="24"/>
        </w:rPr>
        <w:t>Ausweis</w:t>
      </w:r>
      <w:r w:rsidR="00621DC6" w:rsidRPr="00621DC6">
        <w:rPr>
          <w:rFonts w:ascii="Times New Roman" w:hAnsi="Times New Roman" w:cs="Times New Roman"/>
          <w:sz w:val="24"/>
          <w:szCs w:val="24"/>
        </w:rPr>
        <w:t xml:space="preserve"> im Entwicklungsplan dient</w:t>
      </w:r>
      <w:r w:rsidR="00621DC6">
        <w:rPr>
          <w:rFonts w:ascii="Times New Roman" w:hAnsi="Times New Roman" w:cs="Times New Roman"/>
          <w:sz w:val="24"/>
          <w:szCs w:val="24"/>
        </w:rPr>
        <w:t xml:space="preserve"> </w:t>
      </w:r>
      <w:r w:rsidR="00621DC6" w:rsidRPr="00621DC6">
        <w:rPr>
          <w:rFonts w:ascii="Times New Roman" w:hAnsi="Times New Roman" w:cs="Times New Roman"/>
          <w:sz w:val="24"/>
          <w:szCs w:val="24"/>
        </w:rPr>
        <w:t>daher der Dokumentation und damit der Transparenz</w:t>
      </w:r>
      <w:r w:rsidR="00621DC6">
        <w:rPr>
          <w:rFonts w:ascii="Times New Roman" w:hAnsi="Times New Roman" w:cs="Times New Roman"/>
          <w:sz w:val="24"/>
          <w:szCs w:val="24"/>
        </w:rPr>
        <w:t xml:space="preserve"> </w:t>
      </w:r>
      <w:r w:rsidR="00621DC6" w:rsidRPr="00621DC6">
        <w:rPr>
          <w:rFonts w:ascii="Times New Roman" w:hAnsi="Times New Roman" w:cs="Times New Roman"/>
          <w:sz w:val="24"/>
          <w:szCs w:val="24"/>
        </w:rPr>
        <w:t xml:space="preserve">innerhalb und außerhalb der Universität </w:t>
      </w:r>
      <w:r w:rsidR="00C050C1">
        <w:rPr>
          <w:rFonts w:ascii="Times New Roman" w:hAnsi="Times New Roman" w:cs="Times New Roman"/>
          <w:sz w:val="24"/>
          <w:szCs w:val="24"/>
        </w:rPr>
        <w:t>und nicht</w:t>
      </w:r>
      <w:r w:rsidR="00C050C1" w:rsidRPr="00621DC6">
        <w:rPr>
          <w:rFonts w:ascii="Times New Roman" w:hAnsi="Times New Roman" w:cs="Times New Roman"/>
          <w:sz w:val="24"/>
          <w:szCs w:val="24"/>
        </w:rPr>
        <w:t xml:space="preserve"> </w:t>
      </w:r>
      <w:r w:rsidR="00621DC6" w:rsidRPr="00621DC6">
        <w:rPr>
          <w:rFonts w:ascii="Times New Roman" w:hAnsi="Times New Roman" w:cs="Times New Roman"/>
          <w:sz w:val="24"/>
          <w:szCs w:val="24"/>
        </w:rPr>
        <w:t>der</w:t>
      </w:r>
      <w:r w:rsidR="00621DC6">
        <w:rPr>
          <w:rFonts w:ascii="Times New Roman" w:hAnsi="Times New Roman" w:cs="Times New Roman"/>
          <w:sz w:val="24"/>
          <w:szCs w:val="24"/>
        </w:rPr>
        <w:t xml:space="preserve"> </w:t>
      </w:r>
      <w:r w:rsidR="00621DC6" w:rsidRPr="00621DC6">
        <w:rPr>
          <w:rFonts w:ascii="Times New Roman" w:hAnsi="Times New Roman" w:cs="Times New Roman"/>
          <w:sz w:val="24"/>
          <w:szCs w:val="24"/>
        </w:rPr>
        <w:t>vorherigen Festlegung, ob und wie viele Stellen überhaupt</w:t>
      </w:r>
      <w:r w:rsidR="00621DC6">
        <w:rPr>
          <w:rFonts w:ascii="Times New Roman" w:hAnsi="Times New Roman" w:cs="Times New Roman"/>
          <w:sz w:val="24"/>
          <w:szCs w:val="24"/>
        </w:rPr>
        <w:t xml:space="preserve"> </w:t>
      </w:r>
      <w:r w:rsidR="00621DC6" w:rsidRPr="00621DC6">
        <w:rPr>
          <w:rFonts w:ascii="Times New Roman" w:hAnsi="Times New Roman" w:cs="Times New Roman"/>
          <w:sz w:val="24"/>
          <w:szCs w:val="24"/>
        </w:rPr>
        <w:t>ausgeschrieben werden können</w:t>
      </w:r>
      <w:r w:rsidR="00621DC6">
        <w:rPr>
          <w:rStyle w:val="Funotenzeichen"/>
          <w:rFonts w:ascii="Times New Roman" w:hAnsi="Times New Roman" w:cs="Times New Roman"/>
          <w:sz w:val="24"/>
          <w:szCs w:val="24"/>
        </w:rPr>
        <w:footnoteReference w:id="3"/>
      </w:r>
      <w:r w:rsidR="00621DC6" w:rsidRPr="00621DC6">
        <w:rPr>
          <w:rFonts w:ascii="Times New Roman" w:hAnsi="Times New Roman" w:cs="Times New Roman"/>
          <w:sz w:val="24"/>
          <w:szCs w:val="24"/>
        </w:rPr>
        <w:t xml:space="preserve">. </w:t>
      </w:r>
      <w:r w:rsidR="00621DC6">
        <w:rPr>
          <w:rFonts w:ascii="Times New Roman" w:hAnsi="Times New Roman" w:cs="Times New Roman"/>
          <w:sz w:val="24"/>
          <w:szCs w:val="24"/>
        </w:rPr>
        <w:t xml:space="preserve">§ 99 Abs 4 UG spricht hingegen von der </w:t>
      </w:r>
      <w:r w:rsidR="00621DC6" w:rsidRPr="00B648E7">
        <w:rPr>
          <w:rFonts w:ascii="Times New Roman" w:hAnsi="Times New Roman" w:cs="Times New Roman"/>
          <w:i/>
          <w:sz w:val="24"/>
          <w:szCs w:val="24"/>
        </w:rPr>
        <w:t>Festlegung</w:t>
      </w:r>
      <w:r w:rsidR="00621DC6">
        <w:rPr>
          <w:rFonts w:ascii="Times New Roman" w:hAnsi="Times New Roman" w:cs="Times New Roman"/>
          <w:sz w:val="24"/>
          <w:szCs w:val="24"/>
        </w:rPr>
        <w:t xml:space="preserve"> der Anzahl der Stellen im Entwicklungsplan. Die Ausschreibung kann erst erfolgen, nachdem die Anzahl der Stellen in den Entwicklungsplan aufgenommen wurde.</w:t>
      </w:r>
    </w:p>
    <w:p w14:paraId="2554BA56" w14:textId="61926371" w:rsidR="000D4761" w:rsidRDefault="00C1153F" w:rsidP="00297699">
      <w:pPr>
        <w:spacing w:line="360" w:lineRule="auto"/>
        <w:jc w:val="both"/>
        <w:rPr>
          <w:rFonts w:ascii="Times New Roman" w:hAnsi="Times New Roman" w:cs="Times New Roman"/>
          <w:sz w:val="24"/>
          <w:szCs w:val="24"/>
        </w:rPr>
      </w:pPr>
      <w:r>
        <w:rPr>
          <w:rFonts w:ascii="Times New Roman" w:hAnsi="Times New Roman" w:cs="Times New Roman"/>
          <w:sz w:val="24"/>
          <w:szCs w:val="24"/>
          <w:lang w:val="de-DE"/>
        </w:rPr>
        <w:t xml:space="preserve">Zur Festlegung des Kreises der in Betracht kommenden Wissenschaftler/innen verweist der Gesetzgeber in § 99 Abs 4 UG </w:t>
      </w:r>
      <w:r w:rsidR="000015E9">
        <w:rPr>
          <w:rFonts w:ascii="Times New Roman" w:hAnsi="Times New Roman" w:cs="Times New Roman"/>
          <w:sz w:val="24"/>
          <w:szCs w:val="24"/>
          <w:lang w:val="de-DE"/>
        </w:rPr>
        <w:t xml:space="preserve">teils explizit, teils implizit </w:t>
      </w:r>
      <w:r>
        <w:rPr>
          <w:rFonts w:ascii="Times New Roman" w:hAnsi="Times New Roman" w:cs="Times New Roman"/>
          <w:sz w:val="24"/>
          <w:szCs w:val="24"/>
          <w:lang w:val="de-DE"/>
        </w:rPr>
        <w:t xml:space="preserve">auf andere Rechtsvorschriften. </w:t>
      </w:r>
      <w:r w:rsidR="00297699">
        <w:rPr>
          <w:rFonts w:ascii="Times New Roman" w:hAnsi="Times New Roman" w:cs="Times New Roman"/>
          <w:sz w:val="24"/>
          <w:szCs w:val="24"/>
          <w:lang w:val="de-DE"/>
        </w:rPr>
        <w:t xml:space="preserve">Die in § 99 Abs 4 UG </w:t>
      </w:r>
      <w:r w:rsidR="009071EB">
        <w:rPr>
          <w:rFonts w:ascii="Times New Roman" w:hAnsi="Times New Roman" w:cs="Times New Roman"/>
          <w:sz w:val="24"/>
          <w:szCs w:val="24"/>
          <w:lang w:val="de-DE"/>
        </w:rPr>
        <w:t>vorgenommene Erwähnung der</w:t>
      </w:r>
      <w:r w:rsidR="00297699">
        <w:rPr>
          <w:rFonts w:ascii="Times New Roman" w:hAnsi="Times New Roman" w:cs="Times New Roman"/>
          <w:sz w:val="24"/>
          <w:szCs w:val="24"/>
          <w:lang w:val="de-DE"/>
        </w:rPr>
        <w:t xml:space="preserve"> „Universitätsdozentinnen und Universitätsdozenten gemäß § 94 Abs 2 Z 2“ </w:t>
      </w:r>
      <w:r w:rsidR="0054512D">
        <w:rPr>
          <w:rFonts w:ascii="Times New Roman" w:hAnsi="Times New Roman" w:cs="Times New Roman"/>
          <w:sz w:val="24"/>
          <w:szCs w:val="24"/>
          <w:lang w:val="de-DE"/>
        </w:rPr>
        <w:t xml:space="preserve">wirft </w:t>
      </w:r>
      <w:r w:rsidR="00297699">
        <w:rPr>
          <w:rFonts w:ascii="Times New Roman" w:hAnsi="Times New Roman" w:cs="Times New Roman"/>
          <w:sz w:val="24"/>
          <w:szCs w:val="24"/>
          <w:lang w:val="de-DE"/>
        </w:rPr>
        <w:t xml:space="preserve">schwierige Auslegungsfragen auf: </w:t>
      </w:r>
      <w:r w:rsidR="00701073">
        <w:rPr>
          <w:rFonts w:ascii="Times New Roman" w:hAnsi="Times New Roman" w:cs="Times New Roman"/>
          <w:sz w:val="24"/>
          <w:szCs w:val="24"/>
          <w:lang w:val="de-DE"/>
        </w:rPr>
        <w:t>Der Gesetzgeber eröffnet in § 99 Abs 4 UG jedenfalls bestimmten Wissenschaftler/inne</w:t>
      </w:r>
      <w:r w:rsidR="00E675CB">
        <w:rPr>
          <w:rFonts w:ascii="Times New Roman" w:hAnsi="Times New Roman" w:cs="Times New Roman"/>
          <w:sz w:val="24"/>
          <w:szCs w:val="24"/>
          <w:lang w:val="de-DE"/>
        </w:rPr>
        <w:t>/</w:t>
      </w:r>
      <w:r w:rsidR="00701073">
        <w:rPr>
          <w:rFonts w:ascii="Times New Roman" w:hAnsi="Times New Roman" w:cs="Times New Roman"/>
          <w:sz w:val="24"/>
          <w:szCs w:val="24"/>
          <w:lang w:val="de-DE"/>
        </w:rPr>
        <w:t xml:space="preserve">n, die nicht nach § 99 Abs 6 UG </w:t>
      </w:r>
      <w:r w:rsidR="00D14301">
        <w:rPr>
          <w:rFonts w:ascii="Times New Roman" w:hAnsi="Times New Roman" w:cs="Times New Roman"/>
          <w:sz w:val="24"/>
          <w:szCs w:val="24"/>
          <w:lang w:val="de-DE"/>
        </w:rPr>
        <w:t xml:space="preserve">in die Gruppe des „wissenschaftlichen und künstlerischen Universitätspersonals gemäß § 94 Abs 2 Z 1“ gelangen und daher auch nicht auf diese Weise </w:t>
      </w:r>
      <w:r w:rsidR="00701073">
        <w:rPr>
          <w:rFonts w:ascii="Times New Roman" w:hAnsi="Times New Roman" w:cs="Times New Roman"/>
          <w:sz w:val="24"/>
          <w:szCs w:val="24"/>
          <w:lang w:val="de-DE"/>
        </w:rPr>
        <w:t>organisationsrechtlich den Status von Universitätsprofessor/inn/en erlangen können</w:t>
      </w:r>
      <w:r w:rsidR="00D14301">
        <w:rPr>
          <w:rFonts w:ascii="Times New Roman" w:hAnsi="Times New Roman" w:cs="Times New Roman"/>
          <w:sz w:val="24"/>
          <w:szCs w:val="24"/>
          <w:lang w:val="de-DE"/>
        </w:rPr>
        <w:t xml:space="preserve">, einen anderen Weg, um organisationsrechtlich, aber auch arbeitsrechtlich </w:t>
      </w:r>
      <w:r w:rsidR="00330C5A">
        <w:rPr>
          <w:rFonts w:ascii="Times New Roman" w:hAnsi="Times New Roman" w:cs="Times New Roman"/>
          <w:sz w:val="24"/>
          <w:szCs w:val="24"/>
          <w:lang w:val="de-DE"/>
        </w:rPr>
        <w:t>Universitätsprofessor</w:t>
      </w:r>
      <w:r w:rsidR="00D14301">
        <w:rPr>
          <w:rFonts w:ascii="Times New Roman" w:hAnsi="Times New Roman" w:cs="Times New Roman"/>
          <w:sz w:val="24"/>
          <w:szCs w:val="24"/>
          <w:lang w:val="de-DE"/>
        </w:rPr>
        <w:t>/inn/en zu werden.</w:t>
      </w:r>
      <w:r w:rsidR="00701073">
        <w:rPr>
          <w:rFonts w:ascii="Times New Roman" w:hAnsi="Times New Roman" w:cs="Times New Roman"/>
          <w:sz w:val="24"/>
          <w:szCs w:val="24"/>
          <w:lang w:val="de-DE"/>
        </w:rPr>
        <w:t xml:space="preserve"> </w:t>
      </w:r>
      <w:r w:rsidR="00297699" w:rsidRPr="00297699">
        <w:rPr>
          <w:rFonts w:ascii="Times New Roman" w:hAnsi="Times New Roman" w:cs="Times New Roman"/>
          <w:sz w:val="24"/>
          <w:szCs w:val="24"/>
        </w:rPr>
        <w:t>Nach § 122 Abs 2 Z 4</w:t>
      </w:r>
      <w:r w:rsidR="0006777F">
        <w:rPr>
          <w:rFonts w:ascii="Times New Roman" w:hAnsi="Times New Roman" w:cs="Times New Roman"/>
          <w:sz w:val="24"/>
          <w:szCs w:val="24"/>
        </w:rPr>
        <w:t xml:space="preserve"> </w:t>
      </w:r>
      <w:r w:rsidR="00297699" w:rsidRPr="00297699">
        <w:rPr>
          <w:rFonts w:ascii="Times New Roman" w:hAnsi="Times New Roman" w:cs="Times New Roman"/>
          <w:sz w:val="24"/>
          <w:szCs w:val="24"/>
        </w:rPr>
        <w:t>UG gelten „Universitätsdozentinnen und Universitätsdozenten</w:t>
      </w:r>
      <w:r w:rsidR="0006777F">
        <w:rPr>
          <w:rFonts w:ascii="Times New Roman" w:hAnsi="Times New Roman" w:cs="Times New Roman"/>
          <w:sz w:val="24"/>
          <w:szCs w:val="24"/>
        </w:rPr>
        <w:t xml:space="preserve"> </w:t>
      </w:r>
      <w:r w:rsidR="00297699" w:rsidRPr="00297699">
        <w:rPr>
          <w:rFonts w:ascii="Times New Roman" w:hAnsi="Times New Roman" w:cs="Times New Roman"/>
          <w:sz w:val="24"/>
          <w:szCs w:val="24"/>
        </w:rPr>
        <w:t>gemäß § 27 Abs. 3 UOG 1993 oder § 28 Abs. 3</w:t>
      </w:r>
      <w:r w:rsidR="0006777F">
        <w:rPr>
          <w:rFonts w:ascii="Times New Roman" w:hAnsi="Times New Roman" w:cs="Times New Roman"/>
          <w:sz w:val="24"/>
          <w:szCs w:val="24"/>
        </w:rPr>
        <w:t xml:space="preserve"> </w:t>
      </w:r>
      <w:r w:rsidR="00297699" w:rsidRPr="00297699">
        <w:rPr>
          <w:rFonts w:ascii="Times New Roman" w:hAnsi="Times New Roman" w:cs="Times New Roman"/>
          <w:sz w:val="24"/>
          <w:szCs w:val="24"/>
        </w:rPr>
        <w:t>KUOG (Amtstitel: Außerordentliche Universitätsprofessorin</w:t>
      </w:r>
      <w:r w:rsidR="0006777F">
        <w:rPr>
          <w:rFonts w:ascii="Times New Roman" w:hAnsi="Times New Roman" w:cs="Times New Roman"/>
          <w:sz w:val="24"/>
          <w:szCs w:val="24"/>
        </w:rPr>
        <w:t xml:space="preserve"> </w:t>
      </w:r>
      <w:r w:rsidR="00297699" w:rsidRPr="00297699">
        <w:rPr>
          <w:rFonts w:ascii="Times New Roman" w:hAnsi="Times New Roman" w:cs="Times New Roman"/>
          <w:sz w:val="24"/>
          <w:szCs w:val="24"/>
        </w:rPr>
        <w:t>oder Außerordentlicher Universitätsprofessor)</w:t>
      </w:r>
      <w:r w:rsidR="0006777F">
        <w:rPr>
          <w:rFonts w:ascii="Times New Roman" w:hAnsi="Times New Roman" w:cs="Times New Roman"/>
          <w:sz w:val="24"/>
          <w:szCs w:val="24"/>
        </w:rPr>
        <w:t xml:space="preserve"> </w:t>
      </w:r>
      <w:r w:rsidR="00297699" w:rsidRPr="00297699">
        <w:rPr>
          <w:rFonts w:ascii="Times New Roman" w:hAnsi="Times New Roman" w:cs="Times New Roman"/>
          <w:sz w:val="24"/>
          <w:szCs w:val="24"/>
        </w:rPr>
        <w:t>[...] organisationsrechtlich als Universitätsdozentinnen</w:t>
      </w:r>
      <w:r w:rsidR="0006777F">
        <w:rPr>
          <w:rFonts w:ascii="Times New Roman" w:hAnsi="Times New Roman" w:cs="Times New Roman"/>
          <w:sz w:val="24"/>
          <w:szCs w:val="24"/>
        </w:rPr>
        <w:t xml:space="preserve"> </w:t>
      </w:r>
      <w:r w:rsidR="00297699" w:rsidRPr="00297699">
        <w:rPr>
          <w:rFonts w:ascii="Times New Roman" w:hAnsi="Times New Roman" w:cs="Times New Roman"/>
          <w:sz w:val="24"/>
          <w:szCs w:val="24"/>
        </w:rPr>
        <w:t>und Universitätsdozenten gemäß § 94 Abs. 2 Z 2 dieses</w:t>
      </w:r>
      <w:r w:rsidR="0006777F">
        <w:rPr>
          <w:rFonts w:ascii="Times New Roman" w:hAnsi="Times New Roman" w:cs="Times New Roman"/>
          <w:sz w:val="24"/>
          <w:szCs w:val="24"/>
        </w:rPr>
        <w:t xml:space="preserve"> </w:t>
      </w:r>
      <w:r w:rsidR="00297699" w:rsidRPr="00297699">
        <w:rPr>
          <w:rFonts w:ascii="Times New Roman" w:hAnsi="Times New Roman" w:cs="Times New Roman"/>
          <w:sz w:val="24"/>
          <w:szCs w:val="24"/>
        </w:rPr>
        <w:t>Bundesgesetzes“</w:t>
      </w:r>
      <w:r w:rsidR="00E37899">
        <w:rPr>
          <w:rStyle w:val="Funotenzeichen"/>
          <w:rFonts w:ascii="Times New Roman" w:hAnsi="Times New Roman" w:cs="Times New Roman"/>
          <w:sz w:val="24"/>
          <w:szCs w:val="24"/>
        </w:rPr>
        <w:footnoteReference w:id="4"/>
      </w:r>
      <w:r w:rsidR="00297699" w:rsidRPr="00297699">
        <w:rPr>
          <w:rFonts w:ascii="Times New Roman" w:hAnsi="Times New Roman" w:cs="Times New Roman"/>
          <w:sz w:val="24"/>
          <w:szCs w:val="24"/>
        </w:rPr>
        <w:t>. Privatdozent/inn/en gehören nicht zur</w:t>
      </w:r>
      <w:r w:rsidR="0006777F">
        <w:rPr>
          <w:rFonts w:ascii="Times New Roman" w:hAnsi="Times New Roman" w:cs="Times New Roman"/>
          <w:sz w:val="24"/>
          <w:szCs w:val="24"/>
        </w:rPr>
        <w:t xml:space="preserve"> </w:t>
      </w:r>
      <w:r w:rsidR="00297699" w:rsidRPr="00297699">
        <w:rPr>
          <w:rFonts w:ascii="Times New Roman" w:hAnsi="Times New Roman" w:cs="Times New Roman"/>
          <w:sz w:val="24"/>
          <w:szCs w:val="24"/>
        </w:rPr>
        <w:t>Gruppe der Universitätsdozent/inn/en. Sie sind wenn</w:t>
      </w:r>
      <w:r w:rsidR="0006777F">
        <w:rPr>
          <w:rFonts w:ascii="Times New Roman" w:hAnsi="Times New Roman" w:cs="Times New Roman"/>
          <w:sz w:val="24"/>
          <w:szCs w:val="24"/>
        </w:rPr>
        <w:t xml:space="preserve"> </w:t>
      </w:r>
      <w:r w:rsidR="00297699" w:rsidRPr="00297699">
        <w:rPr>
          <w:rFonts w:ascii="Times New Roman" w:hAnsi="Times New Roman" w:cs="Times New Roman"/>
          <w:sz w:val="24"/>
          <w:szCs w:val="24"/>
        </w:rPr>
        <w:t>sie auch in einem Arbeits- oder Dienstverhältnis zur</w:t>
      </w:r>
      <w:r w:rsidR="004E3835">
        <w:rPr>
          <w:rFonts w:ascii="Times New Roman" w:hAnsi="Times New Roman" w:cs="Times New Roman"/>
          <w:sz w:val="24"/>
          <w:szCs w:val="24"/>
        </w:rPr>
        <w:t xml:space="preserve"> </w:t>
      </w:r>
      <w:r w:rsidR="00297699" w:rsidRPr="00297699">
        <w:rPr>
          <w:rFonts w:ascii="Times New Roman" w:hAnsi="Times New Roman" w:cs="Times New Roman"/>
          <w:sz w:val="24"/>
          <w:szCs w:val="24"/>
        </w:rPr>
        <w:t xml:space="preserve">Universität stehen </w:t>
      </w:r>
      <w:r w:rsidR="00751E98">
        <w:rPr>
          <w:rFonts w:ascii="Times New Roman" w:hAnsi="Times New Roman" w:cs="Times New Roman"/>
          <w:sz w:val="24"/>
          <w:szCs w:val="24"/>
        </w:rPr>
        <w:t xml:space="preserve">– </w:t>
      </w:r>
      <w:r w:rsidR="00297699" w:rsidRPr="00297699">
        <w:rPr>
          <w:rFonts w:ascii="Times New Roman" w:hAnsi="Times New Roman" w:cs="Times New Roman"/>
          <w:sz w:val="24"/>
          <w:szCs w:val="24"/>
        </w:rPr>
        <w:t>und auch dann, wenn sie dienstrechtlich</w:t>
      </w:r>
      <w:r w:rsidR="0006777F">
        <w:rPr>
          <w:rFonts w:ascii="Times New Roman" w:hAnsi="Times New Roman" w:cs="Times New Roman"/>
          <w:sz w:val="24"/>
          <w:szCs w:val="24"/>
        </w:rPr>
        <w:t xml:space="preserve"> </w:t>
      </w:r>
      <w:r w:rsidR="00297699" w:rsidRPr="00297699">
        <w:rPr>
          <w:rFonts w:ascii="Times New Roman" w:hAnsi="Times New Roman" w:cs="Times New Roman"/>
          <w:sz w:val="24"/>
          <w:szCs w:val="24"/>
        </w:rPr>
        <w:t>in die Verwendungsgruppe der Universitätsdozent/inn/en „überstellt“ werden und den Amtstitel einer</w:t>
      </w:r>
      <w:r w:rsidR="0006777F">
        <w:rPr>
          <w:rFonts w:ascii="Times New Roman" w:hAnsi="Times New Roman" w:cs="Times New Roman"/>
          <w:sz w:val="24"/>
          <w:szCs w:val="24"/>
        </w:rPr>
        <w:t xml:space="preserve"> </w:t>
      </w:r>
      <w:r w:rsidR="00297699" w:rsidRPr="00297699">
        <w:rPr>
          <w:rFonts w:ascii="Times New Roman" w:hAnsi="Times New Roman" w:cs="Times New Roman"/>
          <w:sz w:val="24"/>
          <w:szCs w:val="24"/>
        </w:rPr>
        <w:t>Außerordentlichen Universitätsprofessorin oder eines</w:t>
      </w:r>
      <w:r w:rsidR="0006777F">
        <w:rPr>
          <w:rFonts w:ascii="Times New Roman" w:hAnsi="Times New Roman" w:cs="Times New Roman"/>
          <w:sz w:val="24"/>
          <w:szCs w:val="24"/>
        </w:rPr>
        <w:t xml:space="preserve"> </w:t>
      </w:r>
      <w:r w:rsidR="00297699" w:rsidRPr="00297699">
        <w:rPr>
          <w:rFonts w:ascii="Times New Roman" w:hAnsi="Times New Roman" w:cs="Times New Roman"/>
          <w:sz w:val="24"/>
          <w:szCs w:val="24"/>
        </w:rPr>
        <w:t>Außer</w:t>
      </w:r>
      <w:r w:rsidR="00297699" w:rsidRPr="00297699">
        <w:rPr>
          <w:rFonts w:ascii="Times New Roman" w:hAnsi="Times New Roman" w:cs="Times New Roman"/>
          <w:sz w:val="24"/>
          <w:szCs w:val="24"/>
        </w:rPr>
        <w:lastRenderedPageBreak/>
        <w:t>ordentlichen Universitätsprofessors tragen –</w:t>
      </w:r>
      <w:r w:rsidR="00751E98">
        <w:rPr>
          <w:rFonts w:ascii="Times New Roman" w:hAnsi="Times New Roman" w:cs="Times New Roman"/>
          <w:sz w:val="24"/>
          <w:szCs w:val="24"/>
        </w:rPr>
        <w:t>,</w:t>
      </w:r>
      <w:r w:rsidR="00297699" w:rsidRPr="00297699">
        <w:rPr>
          <w:rFonts w:ascii="Times New Roman" w:hAnsi="Times New Roman" w:cs="Times New Roman"/>
          <w:sz w:val="24"/>
          <w:szCs w:val="24"/>
        </w:rPr>
        <w:t xml:space="preserve"> wissenschaftliche Mitarbeiter/innen. Soweit es sich bei diesen Personen</w:t>
      </w:r>
      <w:r w:rsidR="0006777F">
        <w:rPr>
          <w:rFonts w:ascii="Times New Roman" w:hAnsi="Times New Roman" w:cs="Times New Roman"/>
          <w:sz w:val="24"/>
          <w:szCs w:val="24"/>
        </w:rPr>
        <w:t xml:space="preserve"> </w:t>
      </w:r>
      <w:r w:rsidR="00297699" w:rsidRPr="00297699">
        <w:rPr>
          <w:rFonts w:ascii="Times New Roman" w:hAnsi="Times New Roman" w:cs="Times New Roman"/>
          <w:sz w:val="24"/>
          <w:szCs w:val="24"/>
        </w:rPr>
        <w:t>nicht auch um Assoziierte Professor/inn/en gemäß</w:t>
      </w:r>
      <w:r w:rsidR="0006777F">
        <w:rPr>
          <w:rFonts w:ascii="Times New Roman" w:hAnsi="Times New Roman" w:cs="Times New Roman"/>
          <w:sz w:val="24"/>
          <w:szCs w:val="24"/>
        </w:rPr>
        <w:t xml:space="preserve"> </w:t>
      </w:r>
      <w:r w:rsidR="00297699" w:rsidRPr="00297699">
        <w:rPr>
          <w:rFonts w:ascii="Times New Roman" w:hAnsi="Times New Roman" w:cs="Times New Roman"/>
          <w:sz w:val="24"/>
          <w:szCs w:val="24"/>
        </w:rPr>
        <w:t xml:space="preserve">§ 27 des Kollektivvertrages handelt, </w:t>
      </w:r>
      <w:r w:rsidR="0006777F">
        <w:rPr>
          <w:rFonts w:ascii="Times New Roman" w:hAnsi="Times New Roman" w:cs="Times New Roman"/>
          <w:sz w:val="24"/>
          <w:szCs w:val="24"/>
        </w:rPr>
        <w:t xml:space="preserve">lässt der Wortlaut dieser Vorschrift nicht zu, dass </w:t>
      </w:r>
      <w:r w:rsidR="00297699" w:rsidRPr="00297699">
        <w:rPr>
          <w:rFonts w:ascii="Times New Roman" w:hAnsi="Times New Roman" w:cs="Times New Roman"/>
          <w:sz w:val="24"/>
          <w:szCs w:val="24"/>
        </w:rPr>
        <w:t>diese Personen</w:t>
      </w:r>
      <w:r w:rsidR="0006777F">
        <w:rPr>
          <w:rFonts w:ascii="Times New Roman" w:hAnsi="Times New Roman" w:cs="Times New Roman"/>
          <w:sz w:val="24"/>
          <w:szCs w:val="24"/>
        </w:rPr>
        <w:t xml:space="preserve"> </w:t>
      </w:r>
      <w:r w:rsidR="00297699" w:rsidRPr="00297699">
        <w:rPr>
          <w:rFonts w:ascii="Times New Roman" w:hAnsi="Times New Roman" w:cs="Times New Roman"/>
          <w:sz w:val="24"/>
          <w:szCs w:val="24"/>
        </w:rPr>
        <w:t>im Rahmen eines vereinfachten Verfahrens</w:t>
      </w:r>
      <w:r w:rsidR="0006777F">
        <w:rPr>
          <w:rFonts w:ascii="Times New Roman" w:hAnsi="Times New Roman" w:cs="Times New Roman"/>
          <w:sz w:val="24"/>
          <w:szCs w:val="24"/>
        </w:rPr>
        <w:t xml:space="preserve"> </w:t>
      </w:r>
      <w:r w:rsidR="00297699" w:rsidRPr="00297699">
        <w:rPr>
          <w:rFonts w:ascii="Times New Roman" w:hAnsi="Times New Roman" w:cs="Times New Roman"/>
          <w:sz w:val="24"/>
          <w:szCs w:val="24"/>
        </w:rPr>
        <w:t>zu Universitätsprofessor/inn/en berufen werden</w:t>
      </w:r>
      <w:r w:rsidR="0006777F">
        <w:rPr>
          <w:rFonts w:ascii="Times New Roman" w:hAnsi="Times New Roman" w:cs="Times New Roman"/>
          <w:sz w:val="24"/>
          <w:szCs w:val="24"/>
        </w:rPr>
        <w:t xml:space="preserve"> können</w:t>
      </w:r>
      <w:r w:rsidR="00297699" w:rsidRPr="00297699">
        <w:rPr>
          <w:rFonts w:ascii="Times New Roman" w:hAnsi="Times New Roman" w:cs="Times New Roman"/>
          <w:sz w:val="24"/>
          <w:szCs w:val="24"/>
        </w:rPr>
        <w:t xml:space="preserve">. </w:t>
      </w:r>
    </w:p>
    <w:p w14:paraId="2554BA57" w14:textId="3C81C5D1" w:rsidR="001769E1" w:rsidRDefault="000D4761" w:rsidP="007B6909">
      <w:pPr>
        <w:spacing w:line="360" w:lineRule="auto"/>
        <w:jc w:val="both"/>
        <w:rPr>
          <w:rFonts w:ascii="Times New Roman" w:hAnsi="Times New Roman" w:cs="Times New Roman"/>
          <w:sz w:val="24"/>
          <w:szCs w:val="24"/>
        </w:rPr>
      </w:pPr>
      <w:r w:rsidRPr="000015E9">
        <w:rPr>
          <w:rFonts w:ascii="Times New Roman" w:hAnsi="Times New Roman" w:cs="Times New Roman"/>
          <w:i/>
          <w:sz w:val="24"/>
          <w:szCs w:val="24"/>
        </w:rPr>
        <w:t>Perle</w:t>
      </w:r>
      <w:r>
        <w:rPr>
          <w:rFonts w:ascii="Times New Roman" w:hAnsi="Times New Roman" w:cs="Times New Roman"/>
          <w:sz w:val="24"/>
          <w:szCs w:val="24"/>
        </w:rPr>
        <w:t xml:space="preserve"> </w:t>
      </w:r>
      <w:r w:rsidR="002D60BF">
        <w:rPr>
          <w:rFonts w:ascii="Times New Roman" w:hAnsi="Times New Roman" w:cs="Times New Roman"/>
          <w:sz w:val="24"/>
          <w:szCs w:val="24"/>
        </w:rPr>
        <w:t>versteht</w:t>
      </w:r>
      <w:r>
        <w:rPr>
          <w:rFonts w:ascii="Times New Roman" w:hAnsi="Times New Roman" w:cs="Times New Roman"/>
          <w:sz w:val="24"/>
          <w:szCs w:val="24"/>
        </w:rPr>
        <w:t xml:space="preserve"> den Kreis der Universitätsdozent/inn/en weiter</w:t>
      </w:r>
      <w:r w:rsidR="007B6909">
        <w:rPr>
          <w:rFonts w:ascii="Times New Roman" w:hAnsi="Times New Roman" w:cs="Times New Roman"/>
          <w:sz w:val="24"/>
          <w:szCs w:val="24"/>
        </w:rPr>
        <w:t xml:space="preserve"> und </w:t>
      </w:r>
      <w:r w:rsidR="002D60BF">
        <w:rPr>
          <w:rFonts w:ascii="Times New Roman" w:hAnsi="Times New Roman" w:cs="Times New Roman"/>
          <w:sz w:val="24"/>
          <w:szCs w:val="24"/>
        </w:rPr>
        <w:t xml:space="preserve">bezieht </w:t>
      </w:r>
      <w:r w:rsidR="007B6909">
        <w:rPr>
          <w:rFonts w:ascii="Times New Roman" w:hAnsi="Times New Roman" w:cs="Times New Roman"/>
          <w:sz w:val="24"/>
          <w:szCs w:val="24"/>
        </w:rPr>
        <w:t xml:space="preserve">sich dabei auf die Vorschriften des § 27 UOG und des § 28 KUOG, dessen dritte Absätze Gegenstand der Verweisung in § 122 Abs 2 Z 4 UG sind. </w:t>
      </w:r>
      <w:r w:rsidR="00876F55">
        <w:rPr>
          <w:rFonts w:ascii="Times New Roman" w:hAnsi="Times New Roman" w:cs="Times New Roman"/>
          <w:sz w:val="24"/>
          <w:szCs w:val="24"/>
        </w:rPr>
        <w:t xml:space="preserve">Nach </w:t>
      </w:r>
      <w:r>
        <w:rPr>
          <w:rFonts w:ascii="Times New Roman" w:hAnsi="Times New Roman" w:cs="Times New Roman"/>
          <w:sz w:val="24"/>
          <w:szCs w:val="24"/>
        </w:rPr>
        <w:t xml:space="preserve">§ 27 Abs 1 UOG 1993 und § 28 Abs 1 KUOG </w:t>
      </w:r>
      <w:r w:rsidR="00876F55">
        <w:rPr>
          <w:rFonts w:ascii="Times New Roman" w:hAnsi="Times New Roman" w:cs="Times New Roman"/>
          <w:sz w:val="24"/>
          <w:szCs w:val="24"/>
        </w:rPr>
        <w:t xml:space="preserve">haben die Universitätsdozent/inn/en das Recht, die wissenschaftliche oder die künstlerische Lehre an der Universität im Rahmen ihrer Lehrbefugnis (venia docendi) frei auszuüben. </w:t>
      </w:r>
      <w:r w:rsidR="00876F55" w:rsidRPr="00986685">
        <w:rPr>
          <w:rFonts w:ascii="Times New Roman" w:hAnsi="Times New Roman" w:cs="Times New Roman"/>
          <w:i/>
          <w:sz w:val="24"/>
          <w:szCs w:val="24"/>
        </w:rPr>
        <w:t>Perle</w:t>
      </w:r>
      <w:r w:rsidR="00876F55">
        <w:rPr>
          <w:rFonts w:ascii="Times New Roman" w:hAnsi="Times New Roman" w:cs="Times New Roman"/>
          <w:sz w:val="24"/>
          <w:szCs w:val="24"/>
        </w:rPr>
        <w:t xml:space="preserve"> </w:t>
      </w:r>
      <w:r w:rsidR="008C742F">
        <w:rPr>
          <w:rFonts w:ascii="Times New Roman" w:hAnsi="Times New Roman" w:cs="Times New Roman"/>
          <w:sz w:val="24"/>
          <w:szCs w:val="24"/>
        </w:rPr>
        <w:t>spr</w:t>
      </w:r>
      <w:r w:rsidR="00101AC7">
        <w:rPr>
          <w:rFonts w:ascii="Times New Roman" w:hAnsi="Times New Roman" w:cs="Times New Roman"/>
          <w:sz w:val="24"/>
          <w:szCs w:val="24"/>
        </w:rPr>
        <w:t>icht</w:t>
      </w:r>
      <w:r w:rsidR="008C742F">
        <w:rPr>
          <w:rFonts w:ascii="Times New Roman" w:hAnsi="Times New Roman" w:cs="Times New Roman"/>
          <w:sz w:val="24"/>
          <w:szCs w:val="24"/>
        </w:rPr>
        <w:t xml:space="preserve"> </w:t>
      </w:r>
      <w:r w:rsidR="00876F55">
        <w:rPr>
          <w:rFonts w:ascii="Times New Roman" w:hAnsi="Times New Roman" w:cs="Times New Roman"/>
          <w:sz w:val="24"/>
          <w:szCs w:val="24"/>
        </w:rPr>
        <w:t xml:space="preserve">sich </w:t>
      </w:r>
      <w:r w:rsidR="00101AC7">
        <w:rPr>
          <w:rFonts w:ascii="Times New Roman" w:hAnsi="Times New Roman" w:cs="Times New Roman"/>
          <w:sz w:val="24"/>
          <w:szCs w:val="24"/>
        </w:rPr>
        <w:t xml:space="preserve">– in Übereinstimmung mit einer davor ergangenen Anfragebeantwortung des BMWFW – </w:t>
      </w:r>
      <w:r w:rsidR="00876F55">
        <w:rPr>
          <w:rFonts w:ascii="Times New Roman" w:hAnsi="Times New Roman" w:cs="Times New Roman"/>
          <w:sz w:val="24"/>
          <w:szCs w:val="24"/>
        </w:rPr>
        <w:t>dafür aus, den Begriff „Lehrbefugnis“ so zu interpretieren, dass materiell</w:t>
      </w:r>
      <w:r w:rsidR="007B6909">
        <w:rPr>
          <w:rFonts w:ascii="Times New Roman" w:hAnsi="Times New Roman" w:cs="Times New Roman"/>
          <w:sz w:val="24"/>
          <w:szCs w:val="24"/>
        </w:rPr>
        <w:t xml:space="preserve"> auf den Erwerb der „venia docendi“ nach universitätsorganisationsrechtlichen Vorschriften abgestellt wird</w:t>
      </w:r>
      <w:r w:rsidR="007A5D37">
        <w:rPr>
          <w:rStyle w:val="Funotenzeichen"/>
          <w:rFonts w:ascii="Times New Roman" w:hAnsi="Times New Roman" w:cs="Times New Roman"/>
          <w:sz w:val="24"/>
          <w:szCs w:val="24"/>
        </w:rPr>
        <w:footnoteReference w:id="5"/>
      </w:r>
      <w:r w:rsidR="007B6909">
        <w:rPr>
          <w:rFonts w:ascii="Times New Roman" w:hAnsi="Times New Roman" w:cs="Times New Roman"/>
          <w:sz w:val="24"/>
          <w:szCs w:val="24"/>
        </w:rPr>
        <w:t xml:space="preserve">. Das BMWFW </w:t>
      </w:r>
      <w:r w:rsidR="00101AC7">
        <w:rPr>
          <w:rFonts w:ascii="Times New Roman" w:hAnsi="Times New Roman" w:cs="Times New Roman"/>
          <w:sz w:val="24"/>
          <w:szCs w:val="24"/>
        </w:rPr>
        <w:t>weist dabei</w:t>
      </w:r>
      <w:r w:rsidR="007B6909">
        <w:rPr>
          <w:rFonts w:ascii="Times New Roman" w:hAnsi="Times New Roman" w:cs="Times New Roman"/>
          <w:sz w:val="24"/>
          <w:szCs w:val="24"/>
        </w:rPr>
        <w:t xml:space="preserve"> darauf hin, </w:t>
      </w:r>
      <w:r w:rsidR="00A557D7">
        <w:rPr>
          <w:rFonts w:ascii="Times New Roman" w:hAnsi="Times New Roman" w:cs="Times New Roman"/>
          <w:sz w:val="24"/>
          <w:szCs w:val="24"/>
        </w:rPr>
        <w:t xml:space="preserve">dass </w:t>
      </w:r>
      <w:r w:rsidR="000D0C20">
        <w:rPr>
          <w:rFonts w:ascii="Times New Roman" w:hAnsi="Times New Roman" w:cs="Times New Roman"/>
          <w:sz w:val="24"/>
          <w:szCs w:val="24"/>
        </w:rPr>
        <w:t>„</w:t>
      </w:r>
      <w:r w:rsidR="00A557D7">
        <w:rPr>
          <w:rFonts w:ascii="Times New Roman" w:hAnsi="Times New Roman" w:cs="Times New Roman"/>
          <w:sz w:val="24"/>
          <w:szCs w:val="24"/>
        </w:rPr>
        <w:t>d</w:t>
      </w:r>
      <w:r w:rsidR="007B6909" w:rsidRPr="007B6909">
        <w:rPr>
          <w:rFonts w:ascii="Times New Roman" w:hAnsi="Times New Roman" w:cs="Times New Roman"/>
          <w:sz w:val="24"/>
          <w:szCs w:val="24"/>
        </w:rPr>
        <w:t>er Zugang zur Verwendungsgruppe der Universitätsdozent</w:t>
      </w:r>
      <w:r w:rsidR="00A557D7">
        <w:rPr>
          <w:rFonts w:ascii="Times New Roman" w:hAnsi="Times New Roman" w:cs="Times New Roman"/>
          <w:sz w:val="24"/>
          <w:szCs w:val="24"/>
        </w:rPr>
        <w:t>/inn/</w:t>
      </w:r>
      <w:r w:rsidR="007B6909" w:rsidRPr="007B6909">
        <w:rPr>
          <w:rFonts w:ascii="Times New Roman" w:hAnsi="Times New Roman" w:cs="Times New Roman"/>
          <w:sz w:val="24"/>
          <w:szCs w:val="24"/>
        </w:rPr>
        <w:t>en</w:t>
      </w:r>
      <w:r w:rsidR="00A557D7">
        <w:rPr>
          <w:rFonts w:ascii="Times New Roman" w:hAnsi="Times New Roman" w:cs="Times New Roman"/>
          <w:sz w:val="24"/>
          <w:szCs w:val="24"/>
        </w:rPr>
        <w:t xml:space="preserve"> </w:t>
      </w:r>
      <w:r w:rsidR="007B6909" w:rsidRPr="007B6909">
        <w:rPr>
          <w:rFonts w:ascii="Times New Roman" w:hAnsi="Times New Roman" w:cs="Times New Roman"/>
          <w:sz w:val="24"/>
          <w:szCs w:val="24"/>
        </w:rPr>
        <w:t>auch denjenigen Angehörigen der für eine Überleitung gemäß § 170 BDG</w:t>
      </w:r>
      <w:r w:rsidR="00A557D7">
        <w:rPr>
          <w:rFonts w:ascii="Times New Roman" w:hAnsi="Times New Roman" w:cs="Times New Roman"/>
          <w:sz w:val="24"/>
          <w:szCs w:val="24"/>
        </w:rPr>
        <w:t xml:space="preserve"> </w:t>
      </w:r>
      <w:r w:rsidR="007B6909" w:rsidRPr="007B6909">
        <w:rPr>
          <w:rFonts w:ascii="Times New Roman" w:hAnsi="Times New Roman" w:cs="Times New Roman"/>
          <w:sz w:val="24"/>
          <w:szCs w:val="24"/>
        </w:rPr>
        <w:t>1979 in Frage kommenden Verwendungen offen</w:t>
      </w:r>
      <w:r w:rsidR="00101AC7">
        <w:rPr>
          <w:rFonts w:ascii="Times New Roman" w:hAnsi="Times New Roman" w:cs="Times New Roman"/>
          <w:sz w:val="24"/>
          <w:szCs w:val="24"/>
        </w:rPr>
        <w:t xml:space="preserve"> [steht]</w:t>
      </w:r>
      <w:r w:rsidR="007B6909" w:rsidRPr="007B6909">
        <w:rPr>
          <w:rFonts w:ascii="Times New Roman" w:hAnsi="Times New Roman" w:cs="Times New Roman"/>
          <w:sz w:val="24"/>
          <w:szCs w:val="24"/>
        </w:rPr>
        <w:t>, die sich nach den Bestimmungen des</w:t>
      </w:r>
      <w:r w:rsidR="00A557D7">
        <w:rPr>
          <w:rFonts w:ascii="Times New Roman" w:hAnsi="Times New Roman" w:cs="Times New Roman"/>
          <w:sz w:val="24"/>
          <w:szCs w:val="24"/>
        </w:rPr>
        <w:t xml:space="preserve"> </w:t>
      </w:r>
      <w:r w:rsidR="007B6909" w:rsidRPr="007B6909">
        <w:rPr>
          <w:rFonts w:ascii="Times New Roman" w:hAnsi="Times New Roman" w:cs="Times New Roman"/>
          <w:sz w:val="24"/>
          <w:szCs w:val="24"/>
        </w:rPr>
        <w:t>UG habilitiert haben</w:t>
      </w:r>
      <w:r w:rsidR="000D0C20">
        <w:rPr>
          <w:rFonts w:ascii="Times New Roman" w:hAnsi="Times New Roman" w:cs="Times New Roman"/>
          <w:sz w:val="24"/>
          <w:szCs w:val="24"/>
        </w:rPr>
        <w:t>“</w:t>
      </w:r>
      <w:r w:rsidR="00D14301">
        <w:rPr>
          <w:rStyle w:val="Funotenzeichen"/>
          <w:rFonts w:ascii="Times New Roman" w:hAnsi="Times New Roman" w:cs="Times New Roman"/>
          <w:sz w:val="24"/>
          <w:szCs w:val="24"/>
        </w:rPr>
        <w:footnoteReference w:id="6"/>
      </w:r>
      <w:r w:rsidR="007B6909" w:rsidRPr="007B6909">
        <w:rPr>
          <w:rFonts w:ascii="Times New Roman" w:hAnsi="Times New Roman" w:cs="Times New Roman"/>
          <w:sz w:val="24"/>
          <w:szCs w:val="24"/>
        </w:rPr>
        <w:t>. In der Verwaltungspraxis h</w:t>
      </w:r>
      <w:r w:rsidR="00A557D7">
        <w:rPr>
          <w:rFonts w:ascii="Times New Roman" w:hAnsi="Times New Roman" w:cs="Times New Roman"/>
          <w:sz w:val="24"/>
          <w:szCs w:val="24"/>
        </w:rPr>
        <w:t>ätt</w:t>
      </w:r>
      <w:r w:rsidR="007B6909" w:rsidRPr="007B6909">
        <w:rPr>
          <w:rFonts w:ascii="Times New Roman" w:hAnsi="Times New Roman" w:cs="Times New Roman"/>
          <w:sz w:val="24"/>
          <w:szCs w:val="24"/>
        </w:rPr>
        <w:t>en</w:t>
      </w:r>
      <w:r w:rsidR="00A557D7">
        <w:rPr>
          <w:rFonts w:ascii="Times New Roman" w:hAnsi="Times New Roman" w:cs="Times New Roman"/>
          <w:sz w:val="24"/>
          <w:szCs w:val="24"/>
        </w:rPr>
        <w:t xml:space="preserve"> </w:t>
      </w:r>
      <w:r w:rsidR="007B6909" w:rsidRPr="007B6909">
        <w:rPr>
          <w:rFonts w:ascii="Times New Roman" w:hAnsi="Times New Roman" w:cs="Times New Roman"/>
          <w:sz w:val="24"/>
          <w:szCs w:val="24"/>
        </w:rPr>
        <w:t>Überleitungen nach Erlangung der Lehrbefugnis als Privatdozent/in an vielen</w:t>
      </w:r>
      <w:r w:rsidR="00A557D7">
        <w:rPr>
          <w:rFonts w:ascii="Times New Roman" w:hAnsi="Times New Roman" w:cs="Times New Roman"/>
          <w:sz w:val="24"/>
          <w:szCs w:val="24"/>
        </w:rPr>
        <w:t xml:space="preserve"> </w:t>
      </w:r>
      <w:r w:rsidR="007B6909" w:rsidRPr="007B6909">
        <w:rPr>
          <w:rFonts w:ascii="Times New Roman" w:hAnsi="Times New Roman" w:cs="Times New Roman"/>
          <w:sz w:val="24"/>
          <w:szCs w:val="24"/>
        </w:rPr>
        <w:t>Universitäten anstandslos stattgefunden</w:t>
      </w:r>
      <w:r w:rsidR="00CB375C">
        <w:rPr>
          <w:rStyle w:val="Funotenzeichen"/>
          <w:rFonts w:ascii="Times New Roman" w:hAnsi="Times New Roman" w:cs="Times New Roman"/>
          <w:sz w:val="24"/>
          <w:szCs w:val="24"/>
        </w:rPr>
        <w:footnoteReference w:id="7"/>
      </w:r>
      <w:r w:rsidR="007B6909" w:rsidRPr="007B6909">
        <w:rPr>
          <w:rFonts w:ascii="Times New Roman" w:hAnsi="Times New Roman" w:cs="Times New Roman"/>
          <w:sz w:val="24"/>
          <w:szCs w:val="24"/>
        </w:rPr>
        <w:t>.</w:t>
      </w:r>
      <w:r w:rsidR="00A557D7">
        <w:rPr>
          <w:rFonts w:ascii="Times New Roman" w:hAnsi="Times New Roman" w:cs="Times New Roman"/>
          <w:sz w:val="24"/>
          <w:szCs w:val="24"/>
        </w:rPr>
        <w:t xml:space="preserve"> Tatsächlich spricht § 170 Abs 2 BDG von der „Lehrbefugnis als Universitätsdozent“. Die geschilderte Praxis lässt aber keine Rückschlüsse auf ihre Gesetzeskonformität zu. Für Zwecke des § 122 Abs 2 Z 4 UG ist darüber hinaus aus § 170 BDG wenig zu gewinnen, da der letzte Satz des § 170 Abs 2 BDG ausdrücklich darauf hinweist, dass eine „</w:t>
      </w:r>
      <w:r w:rsidR="00A557D7" w:rsidRPr="00A557D7">
        <w:rPr>
          <w:rFonts w:ascii="Times New Roman" w:hAnsi="Times New Roman" w:cs="Times New Roman"/>
          <w:sz w:val="24"/>
          <w:szCs w:val="24"/>
        </w:rPr>
        <w:t>Änderung der organisationsrechtlichen Gruppenzugehörigkeit</w:t>
      </w:r>
      <w:r w:rsidR="00A557D7">
        <w:rPr>
          <w:rFonts w:ascii="Times New Roman" w:hAnsi="Times New Roman" w:cs="Times New Roman"/>
          <w:sz w:val="24"/>
          <w:szCs w:val="24"/>
        </w:rPr>
        <w:t xml:space="preserve">“ durch die </w:t>
      </w:r>
      <w:r w:rsidR="00592AF2">
        <w:rPr>
          <w:rFonts w:ascii="Times New Roman" w:hAnsi="Times New Roman" w:cs="Times New Roman"/>
          <w:sz w:val="24"/>
          <w:szCs w:val="24"/>
        </w:rPr>
        <w:t xml:space="preserve">dienstrechtliche </w:t>
      </w:r>
      <w:r w:rsidR="00A557D7">
        <w:rPr>
          <w:rFonts w:ascii="Times New Roman" w:hAnsi="Times New Roman" w:cs="Times New Roman"/>
          <w:sz w:val="24"/>
          <w:szCs w:val="24"/>
        </w:rPr>
        <w:t xml:space="preserve">Überleitung nicht eintritt. </w:t>
      </w:r>
      <w:r w:rsidR="00043A32">
        <w:rPr>
          <w:rFonts w:ascii="Times New Roman" w:hAnsi="Times New Roman" w:cs="Times New Roman"/>
          <w:sz w:val="24"/>
          <w:szCs w:val="24"/>
        </w:rPr>
        <w:t xml:space="preserve">Würde </w:t>
      </w:r>
      <w:r w:rsidR="00F97807">
        <w:rPr>
          <w:rFonts w:ascii="Times New Roman" w:hAnsi="Times New Roman" w:cs="Times New Roman"/>
          <w:sz w:val="24"/>
          <w:szCs w:val="24"/>
        </w:rPr>
        <w:t xml:space="preserve">– wie </w:t>
      </w:r>
      <w:r w:rsidR="00F97807" w:rsidRPr="00287632">
        <w:rPr>
          <w:rFonts w:ascii="Times New Roman" w:hAnsi="Times New Roman" w:cs="Times New Roman"/>
          <w:i/>
          <w:sz w:val="24"/>
          <w:szCs w:val="24"/>
        </w:rPr>
        <w:t>Perle</w:t>
      </w:r>
      <w:r w:rsidR="00F97807">
        <w:rPr>
          <w:rFonts w:ascii="Times New Roman" w:hAnsi="Times New Roman" w:cs="Times New Roman"/>
          <w:sz w:val="24"/>
          <w:szCs w:val="24"/>
        </w:rPr>
        <w:t xml:space="preserve"> dies vorschlägt – der Begriff „Lehrbefugnis“ in § 27 Abs 1 UOG 1993 und § 28 Abs 1 KUOG auch </w:t>
      </w:r>
      <w:r w:rsidR="00765D77">
        <w:rPr>
          <w:rFonts w:ascii="Times New Roman" w:hAnsi="Times New Roman" w:cs="Times New Roman"/>
          <w:sz w:val="24"/>
          <w:szCs w:val="24"/>
        </w:rPr>
        <w:t>jede</w:t>
      </w:r>
      <w:r w:rsidR="00F97807">
        <w:rPr>
          <w:rFonts w:ascii="Times New Roman" w:hAnsi="Times New Roman" w:cs="Times New Roman"/>
          <w:sz w:val="24"/>
          <w:szCs w:val="24"/>
        </w:rPr>
        <w:t xml:space="preserve"> nach dem UG erworbene Lehrbefugnis </w:t>
      </w:r>
      <w:r w:rsidR="00043A32">
        <w:rPr>
          <w:rFonts w:ascii="Times New Roman" w:hAnsi="Times New Roman" w:cs="Times New Roman"/>
          <w:sz w:val="24"/>
          <w:szCs w:val="24"/>
        </w:rPr>
        <w:t xml:space="preserve">umfassen </w:t>
      </w:r>
      <w:r w:rsidR="00F97807">
        <w:rPr>
          <w:rFonts w:ascii="Times New Roman" w:hAnsi="Times New Roman" w:cs="Times New Roman"/>
          <w:sz w:val="24"/>
          <w:szCs w:val="24"/>
        </w:rPr>
        <w:t xml:space="preserve">und </w:t>
      </w:r>
      <w:r w:rsidR="00287632">
        <w:rPr>
          <w:rFonts w:ascii="Times New Roman" w:hAnsi="Times New Roman" w:cs="Times New Roman"/>
          <w:sz w:val="24"/>
          <w:szCs w:val="24"/>
        </w:rPr>
        <w:t xml:space="preserve">würden </w:t>
      </w:r>
      <w:r w:rsidR="00F97807">
        <w:rPr>
          <w:rFonts w:ascii="Times New Roman" w:hAnsi="Times New Roman" w:cs="Times New Roman"/>
          <w:sz w:val="24"/>
          <w:szCs w:val="24"/>
        </w:rPr>
        <w:t xml:space="preserve">Privatdozent/inn/en für Zwecke </w:t>
      </w:r>
      <w:r w:rsidR="00D14301">
        <w:rPr>
          <w:rFonts w:ascii="Times New Roman" w:hAnsi="Times New Roman" w:cs="Times New Roman"/>
          <w:sz w:val="24"/>
          <w:szCs w:val="24"/>
        </w:rPr>
        <w:t>des § 122 UG</w:t>
      </w:r>
      <w:r w:rsidR="00F97807">
        <w:rPr>
          <w:rFonts w:ascii="Times New Roman" w:hAnsi="Times New Roman" w:cs="Times New Roman"/>
          <w:sz w:val="24"/>
          <w:szCs w:val="24"/>
        </w:rPr>
        <w:t xml:space="preserve"> </w:t>
      </w:r>
      <w:r w:rsidR="00412D75">
        <w:rPr>
          <w:rFonts w:ascii="Times New Roman" w:hAnsi="Times New Roman" w:cs="Times New Roman"/>
          <w:sz w:val="24"/>
          <w:szCs w:val="24"/>
        </w:rPr>
        <w:t xml:space="preserve">demnach </w:t>
      </w:r>
      <w:r w:rsidR="00F97807">
        <w:rPr>
          <w:rFonts w:ascii="Times New Roman" w:hAnsi="Times New Roman" w:cs="Times New Roman"/>
          <w:sz w:val="24"/>
          <w:szCs w:val="24"/>
        </w:rPr>
        <w:t>auch als Universitätsdozent/inn/en</w:t>
      </w:r>
      <w:r w:rsidR="00043A32">
        <w:rPr>
          <w:rFonts w:ascii="Times New Roman" w:hAnsi="Times New Roman" w:cs="Times New Roman"/>
          <w:sz w:val="24"/>
          <w:szCs w:val="24"/>
        </w:rPr>
        <w:t xml:space="preserve"> gelten</w:t>
      </w:r>
      <w:r w:rsidR="00F97807">
        <w:rPr>
          <w:rFonts w:ascii="Times New Roman" w:hAnsi="Times New Roman" w:cs="Times New Roman"/>
          <w:sz w:val="24"/>
          <w:szCs w:val="24"/>
        </w:rPr>
        <w:t>,</w:t>
      </w:r>
      <w:r w:rsidR="00412D75">
        <w:rPr>
          <w:rFonts w:ascii="Times New Roman" w:hAnsi="Times New Roman" w:cs="Times New Roman"/>
          <w:sz w:val="24"/>
          <w:szCs w:val="24"/>
        </w:rPr>
        <w:t xml:space="preserve"> wäre die Anordnung der differenzierenden </w:t>
      </w:r>
      <w:r w:rsidR="00765D77">
        <w:rPr>
          <w:rFonts w:ascii="Times New Roman" w:hAnsi="Times New Roman" w:cs="Times New Roman"/>
          <w:sz w:val="24"/>
          <w:szCs w:val="24"/>
        </w:rPr>
        <w:t>Rechtsfolgen</w:t>
      </w:r>
      <w:r w:rsidR="008C37AE">
        <w:rPr>
          <w:rFonts w:ascii="Times New Roman" w:hAnsi="Times New Roman" w:cs="Times New Roman"/>
          <w:sz w:val="24"/>
          <w:szCs w:val="24"/>
        </w:rPr>
        <w:t xml:space="preserve"> für Universitäts- und Privatdozent/inn/en</w:t>
      </w:r>
      <w:r w:rsidR="00412D75">
        <w:rPr>
          <w:rFonts w:ascii="Times New Roman" w:hAnsi="Times New Roman" w:cs="Times New Roman"/>
          <w:sz w:val="24"/>
          <w:szCs w:val="24"/>
        </w:rPr>
        <w:t xml:space="preserve">, die </w:t>
      </w:r>
      <w:r w:rsidR="00765D77">
        <w:rPr>
          <w:rFonts w:ascii="Times New Roman" w:hAnsi="Times New Roman" w:cs="Times New Roman"/>
          <w:sz w:val="24"/>
          <w:szCs w:val="24"/>
        </w:rPr>
        <w:t>sich aus</w:t>
      </w:r>
      <w:r w:rsidR="00412D75">
        <w:rPr>
          <w:rFonts w:ascii="Times New Roman" w:hAnsi="Times New Roman" w:cs="Times New Roman"/>
          <w:sz w:val="24"/>
          <w:szCs w:val="24"/>
        </w:rPr>
        <w:t xml:space="preserve"> </w:t>
      </w:r>
      <w:r w:rsidR="00765D77">
        <w:rPr>
          <w:rFonts w:ascii="Times New Roman" w:hAnsi="Times New Roman" w:cs="Times New Roman"/>
          <w:sz w:val="24"/>
          <w:szCs w:val="24"/>
        </w:rPr>
        <w:t xml:space="preserve">der </w:t>
      </w:r>
      <w:r w:rsidR="00412D75">
        <w:rPr>
          <w:rFonts w:ascii="Times New Roman" w:hAnsi="Times New Roman" w:cs="Times New Roman"/>
          <w:sz w:val="24"/>
          <w:szCs w:val="24"/>
        </w:rPr>
        <w:t xml:space="preserve">auf die Vorschriften des § 27 Abs 3 UOG und des § 28 Abs 3 KUOG verweisenden Definition des § 122 Abs 2 Z 4 UG und den daran anknüpfenden Vorschriften des § 122 Abs 3, 4 und 5 UG </w:t>
      </w:r>
      <w:r w:rsidR="00765D77">
        <w:rPr>
          <w:rFonts w:ascii="Times New Roman" w:hAnsi="Times New Roman" w:cs="Times New Roman"/>
          <w:sz w:val="24"/>
          <w:szCs w:val="24"/>
        </w:rPr>
        <w:t>ergeben</w:t>
      </w:r>
      <w:r w:rsidR="00412D75">
        <w:rPr>
          <w:rFonts w:ascii="Times New Roman" w:hAnsi="Times New Roman" w:cs="Times New Roman"/>
          <w:sz w:val="24"/>
          <w:szCs w:val="24"/>
        </w:rPr>
        <w:t xml:space="preserve">, weitgehend überflüssig. </w:t>
      </w:r>
      <w:r w:rsidR="00043A32">
        <w:rPr>
          <w:rFonts w:ascii="Times New Roman" w:hAnsi="Times New Roman" w:cs="Times New Roman"/>
          <w:sz w:val="24"/>
          <w:szCs w:val="24"/>
        </w:rPr>
        <w:t>Auch regelt § 122 UG seiner Überschrift zufolge die „Überleitung der Universitätsangehörigen gemäß UOG 1993 und KUOG“ in das Regime des UG</w:t>
      </w:r>
      <w:r w:rsidR="007A5D37">
        <w:rPr>
          <w:rStyle w:val="Funotenzeichen"/>
          <w:rFonts w:ascii="Times New Roman" w:hAnsi="Times New Roman" w:cs="Times New Roman"/>
          <w:sz w:val="24"/>
          <w:szCs w:val="24"/>
        </w:rPr>
        <w:footnoteReference w:id="8"/>
      </w:r>
      <w:r w:rsidR="00043A32">
        <w:rPr>
          <w:rFonts w:ascii="Times New Roman" w:hAnsi="Times New Roman" w:cs="Times New Roman"/>
          <w:sz w:val="24"/>
          <w:szCs w:val="24"/>
        </w:rPr>
        <w:t xml:space="preserve">, und hat nicht die – </w:t>
      </w:r>
      <w:r w:rsidR="007A5D37">
        <w:rPr>
          <w:rFonts w:ascii="Times New Roman" w:hAnsi="Times New Roman" w:cs="Times New Roman"/>
          <w:sz w:val="24"/>
          <w:szCs w:val="24"/>
        </w:rPr>
        <w:t>in die entgegengesetzte Richtung gehende</w:t>
      </w:r>
      <w:r w:rsidR="00043A32">
        <w:rPr>
          <w:rFonts w:ascii="Times New Roman" w:hAnsi="Times New Roman" w:cs="Times New Roman"/>
          <w:sz w:val="24"/>
          <w:szCs w:val="24"/>
        </w:rPr>
        <w:t xml:space="preserve"> – Aufgabe, die Vorschriften des UOG 1993 und des KUOG auf die dem UG unterliegenden Universitätsangehörigen anwendbar zu machen. </w:t>
      </w:r>
      <w:r w:rsidR="00765D77">
        <w:rPr>
          <w:rFonts w:ascii="Times New Roman" w:hAnsi="Times New Roman" w:cs="Times New Roman"/>
          <w:sz w:val="24"/>
          <w:szCs w:val="24"/>
        </w:rPr>
        <w:t>Vor allem aber sind die Regelungen des UOG und des KUOG insgesamt – von den Verfassungsbestimmungen abgesehen – gemäß § 143 Abs 4 und 5 UG mit Ablauf des 31. 12. 2003 außer Kraft getreten.</w:t>
      </w:r>
      <w:r w:rsidR="00412D75">
        <w:rPr>
          <w:rFonts w:ascii="Times New Roman" w:hAnsi="Times New Roman" w:cs="Times New Roman"/>
          <w:sz w:val="24"/>
          <w:szCs w:val="24"/>
        </w:rPr>
        <w:t xml:space="preserve"> </w:t>
      </w:r>
      <w:r w:rsidR="00765D77">
        <w:rPr>
          <w:rFonts w:ascii="Times New Roman" w:hAnsi="Times New Roman" w:cs="Times New Roman"/>
          <w:sz w:val="24"/>
          <w:szCs w:val="24"/>
        </w:rPr>
        <w:t xml:space="preserve">Lediglich die Übergangsbestimmung des § 123 UG eröffnete bestimmten Personen noch nach dem 31. 12. 2003 </w:t>
      </w:r>
      <w:r w:rsidR="001A5E48">
        <w:rPr>
          <w:rFonts w:ascii="Times New Roman" w:hAnsi="Times New Roman" w:cs="Times New Roman"/>
          <w:sz w:val="24"/>
          <w:szCs w:val="24"/>
        </w:rPr>
        <w:t xml:space="preserve">die Möglichkeit, </w:t>
      </w:r>
      <w:r w:rsidR="00765D77">
        <w:rPr>
          <w:rFonts w:ascii="Times New Roman" w:hAnsi="Times New Roman" w:cs="Times New Roman"/>
          <w:sz w:val="24"/>
          <w:szCs w:val="24"/>
        </w:rPr>
        <w:t>die Lehrbefugnis als Universitätsdozent/in zu erlangen</w:t>
      </w:r>
      <w:r w:rsidR="00765D77">
        <w:rPr>
          <w:rStyle w:val="Funotenzeichen"/>
          <w:rFonts w:ascii="Times New Roman" w:hAnsi="Times New Roman" w:cs="Times New Roman"/>
          <w:sz w:val="24"/>
          <w:szCs w:val="24"/>
        </w:rPr>
        <w:footnoteReference w:id="9"/>
      </w:r>
      <w:r w:rsidR="00765D77">
        <w:rPr>
          <w:rFonts w:ascii="Times New Roman" w:hAnsi="Times New Roman" w:cs="Times New Roman"/>
          <w:sz w:val="24"/>
          <w:szCs w:val="24"/>
        </w:rPr>
        <w:t>.</w:t>
      </w:r>
      <w:r w:rsidR="008C37AE">
        <w:rPr>
          <w:rFonts w:ascii="Times New Roman" w:hAnsi="Times New Roman" w:cs="Times New Roman"/>
          <w:sz w:val="24"/>
          <w:szCs w:val="24"/>
        </w:rPr>
        <w:t xml:space="preserve"> Auch daraus wird deutlich, dass in anderen Fällen </w:t>
      </w:r>
      <w:r w:rsidR="00592AF2">
        <w:rPr>
          <w:rFonts w:ascii="Times New Roman" w:hAnsi="Times New Roman" w:cs="Times New Roman"/>
          <w:sz w:val="24"/>
          <w:szCs w:val="24"/>
        </w:rPr>
        <w:t>die</w:t>
      </w:r>
      <w:r w:rsidR="008C37AE">
        <w:rPr>
          <w:rFonts w:ascii="Times New Roman" w:hAnsi="Times New Roman" w:cs="Times New Roman"/>
          <w:sz w:val="24"/>
          <w:szCs w:val="24"/>
        </w:rPr>
        <w:t xml:space="preserve"> Er</w:t>
      </w:r>
      <w:r w:rsidR="00592AF2">
        <w:rPr>
          <w:rFonts w:ascii="Times New Roman" w:hAnsi="Times New Roman" w:cs="Times New Roman"/>
          <w:sz w:val="24"/>
          <w:szCs w:val="24"/>
        </w:rPr>
        <w:t>teilung</w:t>
      </w:r>
      <w:r w:rsidR="008C37AE">
        <w:rPr>
          <w:rFonts w:ascii="Times New Roman" w:hAnsi="Times New Roman" w:cs="Times New Roman"/>
          <w:sz w:val="24"/>
          <w:szCs w:val="24"/>
        </w:rPr>
        <w:t xml:space="preserve"> einer Lehrbefugnis als Universitätsdozent/in </w:t>
      </w:r>
      <w:r w:rsidR="00592AF2">
        <w:rPr>
          <w:rFonts w:ascii="Times New Roman" w:hAnsi="Times New Roman" w:cs="Times New Roman"/>
          <w:sz w:val="24"/>
          <w:szCs w:val="24"/>
        </w:rPr>
        <w:t xml:space="preserve">nach dem 31. 12. 2003 </w:t>
      </w:r>
      <w:r w:rsidR="008C37AE">
        <w:rPr>
          <w:rFonts w:ascii="Times New Roman" w:hAnsi="Times New Roman" w:cs="Times New Roman"/>
          <w:sz w:val="24"/>
          <w:szCs w:val="24"/>
        </w:rPr>
        <w:t xml:space="preserve">nicht mehr </w:t>
      </w:r>
      <w:r w:rsidR="001A5E48">
        <w:rPr>
          <w:rFonts w:ascii="Times New Roman" w:hAnsi="Times New Roman" w:cs="Times New Roman"/>
          <w:sz w:val="24"/>
          <w:szCs w:val="24"/>
        </w:rPr>
        <w:t xml:space="preserve">zulässig </w:t>
      </w:r>
      <w:r w:rsidR="008C37AE">
        <w:rPr>
          <w:rFonts w:ascii="Times New Roman" w:hAnsi="Times New Roman" w:cs="Times New Roman"/>
          <w:sz w:val="24"/>
          <w:szCs w:val="24"/>
        </w:rPr>
        <w:t>ist.</w:t>
      </w:r>
    </w:p>
    <w:p w14:paraId="67387748" w14:textId="795478CE" w:rsidR="002A3898" w:rsidRDefault="001769E1" w:rsidP="007B69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Letztlich räumt auch </w:t>
      </w:r>
      <w:r w:rsidRPr="00592AF2">
        <w:rPr>
          <w:rFonts w:ascii="Times New Roman" w:hAnsi="Times New Roman" w:cs="Times New Roman"/>
          <w:i/>
          <w:sz w:val="24"/>
          <w:szCs w:val="24"/>
        </w:rPr>
        <w:t>Perle</w:t>
      </w:r>
      <w:r>
        <w:rPr>
          <w:rFonts w:ascii="Times New Roman" w:hAnsi="Times New Roman" w:cs="Times New Roman"/>
          <w:sz w:val="24"/>
          <w:szCs w:val="24"/>
        </w:rPr>
        <w:t xml:space="preserve"> ein, dass eine „reine Wortlautinterpretation“ die von uns bereits </w:t>
      </w:r>
      <w:r w:rsidR="00592AF2">
        <w:rPr>
          <w:rFonts w:ascii="Times New Roman" w:hAnsi="Times New Roman" w:cs="Times New Roman"/>
          <w:sz w:val="24"/>
          <w:szCs w:val="24"/>
        </w:rPr>
        <w:t xml:space="preserve">an anderer Stelle </w:t>
      </w:r>
      <w:r>
        <w:rPr>
          <w:rFonts w:ascii="Times New Roman" w:hAnsi="Times New Roman" w:cs="Times New Roman"/>
          <w:sz w:val="24"/>
          <w:szCs w:val="24"/>
        </w:rPr>
        <w:t xml:space="preserve">aufgezeigten Verwerfungen </w:t>
      </w:r>
      <w:r w:rsidR="00592AF2">
        <w:rPr>
          <w:rFonts w:ascii="Times New Roman" w:hAnsi="Times New Roman" w:cs="Times New Roman"/>
          <w:sz w:val="24"/>
          <w:szCs w:val="24"/>
        </w:rPr>
        <w:t xml:space="preserve">nicht </w:t>
      </w:r>
      <w:r>
        <w:rPr>
          <w:rFonts w:ascii="Times New Roman" w:hAnsi="Times New Roman" w:cs="Times New Roman"/>
          <w:sz w:val="24"/>
          <w:szCs w:val="24"/>
        </w:rPr>
        <w:t>zu beseitigen vermag</w:t>
      </w:r>
      <w:r w:rsidR="00592AF2">
        <w:rPr>
          <w:rStyle w:val="Funotenzeichen"/>
          <w:rFonts w:ascii="Times New Roman" w:hAnsi="Times New Roman" w:cs="Times New Roman"/>
          <w:sz w:val="24"/>
          <w:szCs w:val="24"/>
        </w:rPr>
        <w:footnoteReference w:id="10"/>
      </w:r>
      <w:r>
        <w:rPr>
          <w:rFonts w:ascii="Times New Roman" w:hAnsi="Times New Roman" w:cs="Times New Roman"/>
          <w:sz w:val="24"/>
          <w:szCs w:val="24"/>
        </w:rPr>
        <w:t xml:space="preserve">. Die vom Gesetzgeber gewählte Verweisungstechnik lässt aber kaum Platz für die Berücksichtigung anderer Argumente, die es erlauben würden, sich über den klaren Wortlaut hinwegzusetzen. </w:t>
      </w:r>
      <w:r w:rsidR="00E23D90">
        <w:rPr>
          <w:rFonts w:ascii="Times New Roman" w:hAnsi="Times New Roman" w:cs="Times New Roman"/>
          <w:sz w:val="24"/>
          <w:szCs w:val="24"/>
        </w:rPr>
        <w:t xml:space="preserve">Ein auch Privatdozent/inn/en einschließendes Verständnis des Ausdrucks Universitätsdozent/inn/en in § 122 Abs 2 Z 4 UG würde andere Differenzierungen, die vom Gesetzgeber bewusst angeordnet wurden, beseitigen. Erachtet man den Ausschluss von </w:t>
      </w:r>
      <w:r w:rsidR="007A5D37">
        <w:rPr>
          <w:rFonts w:ascii="Times New Roman" w:hAnsi="Times New Roman" w:cs="Times New Roman"/>
          <w:sz w:val="24"/>
          <w:szCs w:val="24"/>
        </w:rPr>
        <w:t xml:space="preserve">in einem </w:t>
      </w:r>
      <w:r w:rsidR="009A7766">
        <w:rPr>
          <w:rFonts w:ascii="Times New Roman" w:hAnsi="Times New Roman" w:cs="Times New Roman"/>
          <w:sz w:val="24"/>
          <w:szCs w:val="24"/>
        </w:rPr>
        <w:t xml:space="preserve">Arbeits- oder </w:t>
      </w:r>
      <w:r w:rsidR="007A5D37">
        <w:rPr>
          <w:rFonts w:ascii="Times New Roman" w:hAnsi="Times New Roman" w:cs="Times New Roman"/>
          <w:sz w:val="24"/>
          <w:szCs w:val="24"/>
        </w:rPr>
        <w:t xml:space="preserve">Dienstverhältnis </w:t>
      </w:r>
      <w:r w:rsidR="009A7766">
        <w:rPr>
          <w:rFonts w:ascii="Times New Roman" w:hAnsi="Times New Roman" w:cs="Times New Roman"/>
          <w:sz w:val="24"/>
          <w:szCs w:val="24"/>
        </w:rPr>
        <w:t xml:space="preserve">zur Universität </w:t>
      </w:r>
      <w:r w:rsidR="007A5D37">
        <w:rPr>
          <w:rFonts w:ascii="Times New Roman" w:hAnsi="Times New Roman" w:cs="Times New Roman"/>
          <w:sz w:val="24"/>
          <w:szCs w:val="24"/>
        </w:rPr>
        <w:t xml:space="preserve">stehenden </w:t>
      </w:r>
      <w:r w:rsidR="00E23D90">
        <w:rPr>
          <w:rFonts w:ascii="Times New Roman" w:hAnsi="Times New Roman" w:cs="Times New Roman"/>
          <w:sz w:val="24"/>
          <w:szCs w:val="24"/>
        </w:rPr>
        <w:t xml:space="preserve">Privatdozent/inn/en nach § 99 Abs 4 UG für verfassungswidrig – wie dies zuerst in </w:t>
      </w:r>
      <w:r w:rsidR="00CB375C">
        <w:rPr>
          <w:rFonts w:ascii="Times New Roman" w:hAnsi="Times New Roman" w:cs="Times New Roman"/>
          <w:sz w:val="24"/>
          <w:szCs w:val="24"/>
        </w:rPr>
        <w:t xml:space="preserve">der </w:t>
      </w:r>
      <w:r w:rsidR="00E23D90">
        <w:rPr>
          <w:rFonts w:ascii="Times New Roman" w:hAnsi="Times New Roman" w:cs="Times New Roman"/>
          <w:sz w:val="24"/>
          <w:szCs w:val="24"/>
        </w:rPr>
        <w:t>Rechtsauskunft des BMWFW</w:t>
      </w:r>
      <w:r w:rsidR="00E23D90">
        <w:rPr>
          <w:rStyle w:val="Funotenzeichen"/>
          <w:rFonts w:ascii="Times New Roman" w:hAnsi="Times New Roman" w:cs="Times New Roman"/>
          <w:sz w:val="24"/>
          <w:szCs w:val="24"/>
        </w:rPr>
        <w:footnoteReference w:id="11"/>
      </w:r>
      <w:r w:rsidR="00E23D90">
        <w:rPr>
          <w:rFonts w:ascii="Times New Roman" w:hAnsi="Times New Roman" w:cs="Times New Roman"/>
          <w:sz w:val="24"/>
          <w:szCs w:val="24"/>
        </w:rPr>
        <w:t xml:space="preserve"> und dann bei </w:t>
      </w:r>
      <w:r w:rsidR="00E23D90" w:rsidRPr="00986685">
        <w:rPr>
          <w:rFonts w:ascii="Times New Roman" w:hAnsi="Times New Roman" w:cs="Times New Roman"/>
          <w:i/>
          <w:sz w:val="24"/>
          <w:szCs w:val="24"/>
        </w:rPr>
        <w:t>P</w:t>
      </w:r>
      <w:r w:rsidR="00E23D90" w:rsidRPr="00282AED">
        <w:rPr>
          <w:rFonts w:ascii="Times New Roman" w:hAnsi="Times New Roman" w:cs="Times New Roman"/>
          <w:i/>
          <w:sz w:val="24"/>
          <w:szCs w:val="24"/>
        </w:rPr>
        <w:t>erle</w:t>
      </w:r>
      <w:r w:rsidR="00E23D90">
        <w:rPr>
          <w:rFonts w:ascii="Times New Roman" w:hAnsi="Times New Roman" w:cs="Times New Roman"/>
          <w:sz w:val="24"/>
          <w:szCs w:val="24"/>
        </w:rPr>
        <w:t xml:space="preserve"> </w:t>
      </w:r>
      <w:r w:rsidR="005D54E7">
        <w:rPr>
          <w:rFonts w:ascii="Times New Roman" w:hAnsi="Times New Roman" w:cs="Times New Roman"/>
          <w:sz w:val="24"/>
          <w:szCs w:val="24"/>
        </w:rPr>
        <w:t xml:space="preserve">durch Betonung der Notwendigkeit einer verfassungskonformen Interpretation </w:t>
      </w:r>
      <w:r w:rsidR="00E23D90">
        <w:rPr>
          <w:rFonts w:ascii="Times New Roman" w:hAnsi="Times New Roman" w:cs="Times New Roman"/>
          <w:sz w:val="24"/>
          <w:szCs w:val="24"/>
        </w:rPr>
        <w:t>anklingt</w:t>
      </w:r>
      <w:r w:rsidR="00592AF2">
        <w:rPr>
          <w:rStyle w:val="Funotenzeichen"/>
          <w:rFonts w:ascii="Times New Roman" w:hAnsi="Times New Roman" w:cs="Times New Roman"/>
          <w:sz w:val="24"/>
          <w:szCs w:val="24"/>
        </w:rPr>
        <w:footnoteReference w:id="12"/>
      </w:r>
      <w:r w:rsidR="00E23D90">
        <w:rPr>
          <w:rFonts w:ascii="Times New Roman" w:hAnsi="Times New Roman" w:cs="Times New Roman"/>
          <w:sz w:val="24"/>
          <w:szCs w:val="24"/>
        </w:rPr>
        <w:t xml:space="preserve"> –,</w:t>
      </w:r>
      <w:r w:rsidR="00592AF2">
        <w:rPr>
          <w:rFonts w:ascii="Times New Roman" w:hAnsi="Times New Roman" w:cs="Times New Roman"/>
          <w:sz w:val="24"/>
          <w:szCs w:val="24"/>
        </w:rPr>
        <w:t xml:space="preserve"> ist der Gesetzgeber gefordert, die Vorschriften zu ändern und die Rechtslage so zu gestalten, dass sie gleichheitsrechtlich unbedenklich ist.</w:t>
      </w:r>
    </w:p>
    <w:p w14:paraId="5DBED011" w14:textId="743563F4" w:rsidR="00303E0C" w:rsidRDefault="002A3898" w:rsidP="00D16897">
      <w:pPr>
        <w:spacing w:line="360" w:lineRule="auto"/>
        <w:jc w:val="both"/>
        <w:rPr>
          <w:rFonts w:ascii="Times New Roman" w:hAnsi="Times New Roman" w:cs="Times New Roman"/>
          <w:sz w:val="24"/>
          <w:szCs w:val="24"/>
        </w:rPr>
      </w:pPr>
      <w:r>
        <w:rPr>
          <w:rFonts w:ascii="Times New Roman" w:hAnsi="Times New Roman" w:cs="Times New Roman"/>
          <w:sz w:val="24"/>
          <w:szCs w:val="24"/>
        </w:rPr>
        <w:t>Weiters stellt sich die Frage, wer unter den in § 99 Abs 4 UG angesprochenen „Assoziierten Professorinnen und Professoren“ zu verstehen ist.</w:t>
      </w:r>
      <w:r w:rsidR="00D16897">
        <w:rPr>
          <w:rFonts w:ascii="Times New Roman" w:hAnsi="Times New Roman" w:cs="Times New Roman"/>
          <w:sz w:val="24"/>
          <w:szCs w:val="24"/>
        </w:rPr>
        <w:t xml:space="preserve"> </w:t>
      </w:r>
      <w:r>
        <w:rPr>
          <w:rFonts w:ascii="Times New Roman" w:hAnsi="Times New Roman" w:cs="Times New Roman"/>
          <w:sz w:val="24"/>
          <w:szCs w:val="24"/>
        </w:rPr>
        <w:t xml:space="preserve">In § 99 Abs 6 UG </w:t>
      </w:r>
      <w:r w:rsidR="00A66ADD">
        <w:rPr>
          <w:rFonts w:ascii="Times New Roman" w:hAnsi="Times New Roman" w:cs="Times New Roman"/>
          <w:sz w:val="24"/>
          <w:szCs w:val="24"/>
        </w:rPr>
        <w:t>ist von</w:t>
      </w:r>
      <w:r>
        <w:rPr>
          <w:rFonts w:ascii="Times New Roman" w:hAnsi="Times New Roman" w:cs="Times New Roman"/>
          <w:sz w:val="24"/>
          <w:szCs w:val="24"/>
        </w:rPr>
        <w:t xml:space="preserve"> jene</w:t>
      </w:r>
      <w:r w:rsidR="00A66ADD">
        <w:rPr>
          <w:rFonts w:ascii="Times New Roman" w:hAnsi="Times New Roman" w:cs="Times New Roman"/>
          <w:sz w:val="24"/>
          <w:szCs w:val="24"/>
        </w:rPr>
        <w:t>n</w:t>
      </w:r>
      <w:r>
        <w:rPr>
          <w:rFonts w:ascii="Times New Roman" w:hAnsi="Times New Roman" w:cs="Times New Roman"/>
          <w:sz w:val="24"/>
          <w:szCs w:val="24"/>
        </w:rPr>
        <w:t xml:space="preserve"> Personen</w:t>
      </w:r>
      <w:r w:rsidR="00A66ADD">
        <w:rPr>
          <w:rFonts w:ascii="Times New Roman" w:hAnsi="Times New Roman" w:cs="Times New Roman"/>
          <w:sz w:val="24"/>
          <w:szCs w:val="24"/>
        </w:rPr>
        <w:t xml:space="preserve"> die Rede</w:t>
      </w:r>
      <w:r>
        <w:rPr>
          <w:rFonts w:ascii="Times New Roman" w:hAnsi="Times New Roman" w:cs="Times New Roman"/>
          <w:sz w:val="24"/>
          <w:szCs w:val="24"/>
        </w:rPr>
        <w:t>, „die ein Auswahlverfahren gemäß Abs. 5 durchlaufen und die Qualifikation gemäß § 27 Abs. 5 des gemäß § 108 Abs. 3 abgeschlossenen Kollektivvertrages in der am 1. Oktober 2015 geltenden Fassung entsprechend der getroffenen Vereinbarung erreicht haben</w:t>
      </w:r>
      <w:r w:rsidR="00A66ADD">
        <w:rPr>
          <w:rFonts w:ascii="Times New Roman" w:hAnsi="Times New Roman" w:cs="Times New Roman"/>
          <w:sz w:val="24"/>
          <w:szCs w:val="24"/>
        </w:rPr>
        <w:t xml:space="preserve"> (Assoziierte Professorinnen und Professoren)</w:t>
      </w:r>
      <w:r>
        <w:rPr>
          <w:rFonts w:ascii="Times New Roman" w:hAnsi="Times New Roman" w:cs="Times New Roman"/>
          <w:sz w:val="24"/>
          <w:szCs w:val="24"/>
        </w:rPr>
        <w:t>“. Wäre diese</w:t>
      </w:r>
      <w:r w:rsidR="00D16897">
        <w:rPr>
          <w:rFonts w:ascii="Times New Roman" w:hAnsi="Times New Roman" w:cs="Times New Roman"/>
          <w:sz w:val="24"/>
          <w:szCs w:val="24"/>
        </w:rPr>
        <w:t xml:space="preserve"> </w:t>
      </w:r>
      <w:r w:rsidR="00032302">
        <w:rPr>
          <w:rFonts w:ascii="Times New Roman" w:hAnsi="Times New Roman" w:cs="Times New Roman"/>
          <w:sz w:val="24"/>
          <w:szCs w:val="24"/>
        </w:rPr>
        <w:t xml:space="preserve">Formulierung </w:t>
      </w:r>
      <w:r w:rsidR="00D16897">
        <w:rPr>
          <w:rFonts w:ascii="Times New Roman" w:hAnsi="Times New Roman" w:cs="Times New Roman"/>
          <w:sz w:val="24"/>
          <w:szCs w:val="24"/>
        </w:rPr>
        <w:t>als</w:t>
      </w:r>
      <w:r>
        <w:rPr>
          <w:rFonts w:ascii="Times New Roman" w:hAnsi="Times New Roman" w:cs="Times New Roman"/>
          <w:sz w:val="24"/>
          <w:szCs w:val="24"/>
        </w:rPr>
        <w:t xml:space="preserve"> Legaldefinition für Zwecke des § 99 Abs 4 UG maßgebend, wären jene Assoziierten Professor/inn/en von der Möglichkeit ausgeschlossen, nach § 99 Abs 4 UG zu Un</w:t>
      </w:r>
      <w:r w:rsidR="002D619A">
        <w:rPr>
          <w:rFonts w:ascii="Times New Roman" w:hAnsi="Times New Roman" w:cs="Times New Roman"/>
          <w:sz w:val="24"/>
          <w:szCs w:val="24"/>
        </w:rPr>
        <w:t>i</w:t>
      </w:r>
      <w:r>
        <w:rPr>
          <w:rFonts w:ascii="Times New Roman" w:hAnsi="Times New Roman" w:cs="Times New Roman"/>
          <w:sz w:val="24"/>
          <w:szCs w:val="24"/>
        </w:rPr>
        <w:t>versitätsprofessor/inn/en berufen zu werden, d</w:t>
      </w:r>
      <w:r w:rsidR="002D619A">
        <w:rPr>
          <w:rFonts w:ascii="Times New Roman" w:hAnsi="Times New Roman" w:cs="Times New Roman"/>
          <w:sz w:val="24"/>
          <w:szCs w:val="24"/>
        </w:rPr>
        <w:t xml:space="preserve">enen der Weg in die Kurie der Universitätsprofessor/inn/en auch nach § 99 Abs 6 UG versperrt ist. Der </w:t>
      </w:r>
      <w:r w:rsidR="00A66ADD">
        <w:rPr>
          <w:rFonts w:ascii="Times New Roman" w:hAnsi="Times New Roman" w:cs="Times New Roman"/>
          <w:sz w:val="24"/>
          <w:szCs w:val="24"/>
        </w:rPr>
        <w:t xml:space="preserve">primäre </w:t>
      </w:r>
      <w:r w:rsidR="002D619A">
        <w:rPr>
          <w:rFonts w:ascii="Times New Roman" w:hAnsi="Times New Roman" w:cs="Times New Roman"/>
          <w:sz w:val="24"/>
          <w:szCs w:val="24"/>
        </w:rPr>
        <w:t>Zweck des § 99 Abs 4 UG</w:t>
      </w:r>
      <w:r>
        <w:rPr>
          <w:rFonts w:ascii="Times New Roman" w:hAnsi="Times New Roman" w:cs="Times New Roman"/>
          <w:sz w:val="24"/>
          <w:szCs w:val="24"/>
        </w:rPr>
        <w:t xml:space="preserve"> </w:t>
      </w:r>
      <w:r w:rsidR="002D619A">
        <w:rPr>
          <w:rFonts w:ascii="Times New Roman" w:hAnsi="Times New Roman" w:cs="Times New Roman"/>
          <w:sz w:val="24"/>
          <w:szCs w:val="24"/>
        </w:rPr>
        <w:t xml:space="preserve">besteht </w:t>
      </w:r>
      <w:r w:rsidR="0087577D">
        <w:rPr>
          <w:rFonts w:ascii="Times New Roman" w:hAnsi="Times New Roman" w:cs="Times New Roman"/>
          <w:sz w:val="24"/>
          <w:szCs w:val="24"/>
        </w:rPr>
        <w:t xml:space="preserve">aber </w:t>
      </w:r>
      <w:r w:rsidR="002D619A">
        <w:rPr>
          <w:rFonts w:ascii="Times New Roman" w:hAnsi="Times New Roman" w:cs="Times New Roman"/>
          <w:sz w:val="24"/>
          <w:szCs w:val="24"/>
        </w:rPr>
        <w:t xml:space="preserve">gerade darin, </w:t>
      </w:r>
      <w:r w:rsidR="007C2DBD">
        <w:rPr>
          <w:rFonts w:ascii="Times New Roman" w:hAnsi="Times New Roman" w:cs="Times New Roman"/>
          <w:sz w:val="24"/>
          <w:szCs w:val="24"/>
        </w:rPr>
        <w:t xml:space="preserve">im Dienst- oder Arbeitsverhältnis zur Universität stehenden </w:t>
      </w:r>
      <w:r w:rsidR="002D619A">
        <w:rPr>
          <w:rFonts w:ascii="Times New Roman" w:hAnsi="Times New Roman" w:cs="Times New Roman"/>
          <w:sz w:val="24"/>
          <w:szCs w:val="24"/>
        </w:rPr>
        <w:t xml:space="preserve">Personen mit </w:t>
      </w:r>
      <w:r w:rsidR="007C2DBD">
        <w:rPr>
          <w:rFonts w:ascii="Times New Roman" w:hAnsi="Times New Roman" w:cs="Times New Roman"/>
          <w:sz w:val="24"/>
          <w:szCs w:val="24"/>
        </w:rPr>
        <w:t>vergleichbarer</w:t>
      </w:r>
      <w:r w:rsidR="002D619A">
        <w:rPr>
          <w:rFonts w:ascii="Times New Roman" w:hAnsi="Times New Roman" w:cs="Times New Roman"/>
          <w:sz w:val="24"/>
          <w:szCs w:val="24"/>
        </w:rPr>
        <w:t xml:space="preserve"> wisse</w:t>
      </w:r>
      <w:r w:rsidR="008C0A61">
        <w:rPr>
          <w:rFonts w:ascii="Times New Roman" w:hAnsi="Times New Roman" w:cs="Times New Roman"/>
          <w:sz w:val="24"/>
          <w:szCs w:val="24"/>
        </w:rPr>
        <w:t>nschaftlicher Qualifikation</w:t>
      </w:r>
      <w:r>
        <w:rPr>
          <w:rFonts w:ascii="Times New Roman" w:hAnsi="Times New Roman" w:cs="Times New Roman"/>
          <w:sz w:val="24"/>
          <w:szCs w:val="24"/>
        </w:rPr>
        <w:t xml:space="preserve"> </w:t>
      </w:r>
      <w:r w:rsidR="007C2DBD">
        <w:rPr>
          <w:rFonts w:ascii="Times New Roman" w:hAnsi="Times New Roman" w:cs="Times New Roman"/>
          <w:sz w:val="24"/>
          <w:szCs w:val="24"/>
        </w:rPr>
        <w:t xml:space="preserve">wie jenen, die von § 99 Abs 6 UG erfasst sind, aber </w:t>
      </w:r>
      <w:r w:rsidR="008D0733">
        <w:rPr>
          <w:rFonts w:ascii="Times New Roman" w:hAnsi="Times New Roman" w:cs="Times New Roman"/>
          <w:sz w:val="24"/>
          <w:szCs w:val="24"/>
        </w:rPr>
        <w:t xml:space="preserve">damals </w:t>
      </w:r>
      <w:r w:rsidR="007C2DBD">
        <w:rPr>
          <w:rFonts w:ascii="Times New Roman" w:hAnsi="Times New Roman" w:cs="Times New Roman"/>
          <w:sz w:val="24"/>
          <w:szCs w:val="24"/>
        </w:rPr>
        <w:t xml:space="preserve">noch nicht </w:t>
      </w:r>
      <w:r w:rsidR="008D0733">
        <w:rPr>
          <w:rFonts w:ascii="Times New Roman" w:hAnsi="Times New Roman" w:cs="Times New Roman"/>
          <w:sz w:val="24"/>
          <w:szCs w:val="24"/>
        </w:rPr>
        <w:t>das in § 99 Abs 5 UG beschriebene</w:t>
      </w:r>
      <w:r w:rsidR="007C2DBD">
        <w:rPr>
          <w:rFonts w:ascii="Times New Roman" w:hAnsi="Times New Roman" w:cs="Times New Roman"/>
          <w:sz w:val="24"/>
          <w:szCs w:val="24"/>
        </w:rPr>
        <w:t xml:space="preserve"> Auswahlverfahren durchlaufen konnten</w:t>
      </w:r>
      <w:r w:rsidR="00A66ADD">
        <w:rPr>
          <w:rFonts w:ascii="Times New Roman" w:hAnsi="Times New Roman" w:cs="Times New Roman"/>
          <w:sz w:val="24"/>
          <w:szCs w:val="24"/>
        </w:rPr>
        <w:t>, die Berufung zu Universitätsprofessor/inn/en zu ermöglichen</w:t>
      </w:r>
      <w:r w:rsidR="008D0733">
        <w:rPr>
          <w:rStyle w:val="Funotenzeichen"/>
          <w:rFonts w:ascii="Times New Roman" w:hAnsi="Times New Roman" w:cs="Times New Roman"/>
          <w:sz w:val="24"/>
          <w:szCs w:val="24"/>
        </w:rPr>
        <w:footnoteReference w:id="13"/>
      </w:r>
      <w:r w:rsidR="008D0733">
        <w:rPr>
          <w:rFonts w:ascii="Times New Roman" w:hAnsi="Times New Roman" w:cs="Times New Roman"/>
          <w:sz w:val="24"/>
          <w:szCs w:val="24"/>
        </w:rPr>
        <w:t>. Somit kann der Kreis der von § 99 Abs 4 UG erfassten Assoziierten Professor/inn/en nicht auf jene, die unter § 99 Abs 6 UG fallen, eingeschränkt werden.</w:t>
      </w:r>
      <w:r>
        <w:rPr>
          <w:rFonts w:ascii="Times New Roman" w:hAnsi="Times New Roman" w:cs="Times New Roman"/>
          <w:sz w:val="24"/>
          <w:szCs w:val="24"/>
        </w:rPr>
        <w:t xml:space="preserve"> </w:t>
      </w:r>
      <w:r w:rsidR="008D0733">
        <w:rPr>
          <w:rFonts w:ascii="Times New Roman" w:hAnsi="Times New Roman" w:cs="Times New Roman"/>
          <w:sz w:val="24"/>
          <w:szCs w:val="24"/>
        </w:rPr>
        <w:t xml:space="preserve">Umgekehrt lässt sich dieser Kreis aber – anders als dies </w:t>
      </w:r>
      <w:r w:rsidR="008D0733" w:rsidRPr="009A7766">
        <w:rPr>
          <w:rFonts w:ascii="Times New Roman" w:hAnsi="Times New Roman" w:cs="Times New Roman"/>
          <w:i/>
          <w:sz w:val="24"/>
          <w:szCs w:val="24"/>
        </w:rPr>
        <w:t>Kucsko-Stadlmayer</w:t>
      </w:r>
      <w:r w:rsidR="008D0733">
        <w:rPr>
          <w:rFonts w:ascii="Times New Roman" w:hAnsi="Times New Roman" w:cs="Times New Roman"/>
          <w:sz w:val="24"/>
          <w:szCs w:val="24"/>
        </w:rPr>
        <w:t xml:space="preserve"> annimmt</w:t>
      </w:r>
      <w:r w:rsidR="005662F0">
        <w:rPr>
          <w:rStyle w:val="Funotenzeichen"/>
          <w:rFonts w:ascii="Times New Roman" w:hAnsi="Times New Roman" w:cs="Times New Roman"/>
          <w:sz w:val="24"/>
          <w:szCs w:val="24"/>
        </w:rPr>
        <w:footnoteReference w:id="14"/>
      </w:r>
      <w:r w:rsidR="008D0733">
        <w:rPr>
          <w:rFonts w:ascii="Times New Roman" w:hAnsi="Times New Roman" w:cs="Times New Roman"/>
          <w:sz w:val="24"/>
          <w:szCs w:val="24"/>
        </w:rPr>
        <w:t xml:space="preserve"> – auch nicht auf jene Assoziierten Professor/inn</w:t>
      </w:r>
      <w:r w:rsidR="00E675CB">
        <w:rPr>
          <w:rFonts w:ascii="Times New Roman" w:hAnsi="Times New Roman" w:cs="Times New Roman"/>
          <w:sz w:val="24"/>
          <w:szCs w:val="24"/>
        </w:rPr>
        <w:t>/</w:t>
      </w:r>
      <w:r w:rsidR="008D0733">
        <w:rPr>
          <w:rFonts w:ascii="Times New Roman" w:hAnsi="Times New Roman" w:cs="Times New Roman"/>
          <w:sz w:val="24"/>
          <w:szCs w:val="24"/>
        </w:rPr>
        <w:t xml:space="preserve">en reduzieren, die </w:t>
      </w:r>
      <w:r w:rsidR="008D0733" w:rsidRPr="009A7766">
        <w:rPr>
          <w:rFonts w:ascii="Times New Roman" w:hAnsi="Times New Roman" w:cs="Times New Roman"/>
          <w:i/>
          <w:sz w:val="24"/>
          <w:szCs w:val="24"/>
        </w:rPr>
        <w:t>nicht</w:t>
      </w:r>
      <w:r w:rsidR="008D0733">
        <w:rPr>
          <w:rFonts w:ascii="Times New Roman" w:hAnsi="Times New Roman" w:cs="Times New Roman"/>
          <w:sz w:val="24"/>
          <w:szCs w:val="24"/>
        </w:rPr>
        <w:t xml:space="preserve"> von § 99 Abs 6 UG erfasst sind. Auch dafür enthält der Wortlaut des § 99 Abs 4 UG, der in dieser Hinsicht offenkundig </w:t>
      </w:r>
      <w:r w:rsidR="00A33213">
        <w:rPr>
          <w:rFonts w:ascii="Times New Roman" w:hAnsi="Times New Roman" w:cs="Times New Roman"/>
          <w:sz w:val="24"/>
          <w:szCs w:val="24"/>
        </w:rPr>
        <w:t>an</w:t>
      </w:r>
      <w:r w:rsidR="00986685">
        <w:rPr>
          <w:rFonts w:ascii="Times New Roman" w:hAnsi="Times New Roman" w:cs="Times New Roman"/>
          <w:sz w:val="24"/>
          <w:szCs w:val="24"/>
        </w:rPr>
        <w:t xml:space="preserve"> </w:t>
      </w:r>
      <w:r w:rsidR="008D0733">
        <w:rPr>
          <w:rFonts w:ascii="Times New Roman" w:hAnsi="Times New Roman" w:cs="Times New Roman"/>
          <w:sz w:val="24"/>
          <w:szCs w:val="24"/>
        </w:rPr>
        <w:t xml:space="preserve">die Terminologie des Kollektivvertrages anknüpft, keine Anhaltspunkte. Zwar </w:t>
      </w:r>
      <w:r w:rsidR="005662F0">
        <w:rPr>
          <w:rFonts w:ascii="Times New Roman" w:hAnsi="Times New Roman" w:cs="Times New Roman"/>
          <w:sz w:val="24"/>
          <w:szCs w:val="24"/>
        </w:rPr>
        <w:t>besteht aus rein organisationsrechtlicher Sicht keine Notwendigkeit, den schon nach § 99 Abs 6 UG der Gruppe der Universitätsprofessor/inn/en zugehörenden Assoziierten Professor/inn/en</w:t>
      </w:r>
      <w:r w:rsidR="00592AF2">
        <w:rPr>
          <w:rFonts w:ascii="Times New Roman" w:hAnsi="Times New Roman" w:cs="Times New Roman"/>
          <w:sz w:val="24"/>
          <w:szCs w:val="24"/>
        </w:rPr>
        <w:t xml:space="preserve"> </w:t>
      </w:r>
      <w:r w:rsidR="005662F0">
        <w:rPr>
          <w:rFonts w:ascii="Times New Roman" w:hAnsi="Times New Roman" w:cs="Times New Roman"/>
          <w:sz w:val="24"/>
          <w:szCs w:val="24"/>
        </w:rPr>
        <w:t>zusätzlich auch die Möglichkeit der Berufung nach § 99 Abs 4 UG</w:t>
      </w:r>
      <w:r w:rsidR="00AD258F">
        <w:rPr>
          <w:rFonts w:ascii="Times New Roman" w:hAnsi="Times New Roman" w:cs="Times New Roman"/>
          <w:sz w:val="24"/>
          <w:szCs w:val="24"/>
        </w:rPr>
        <w:t xml:space="preserve"> zu</w:t>
      </w:r>
      <w:r w:rsidR="005662F0">
        <w:rPr>
          <w:rFonts w:ascii="Times New Roman" w:hAnsi="Times New Roman" w:cs="Times New Roman"/>
          <w:sz w:val="24"/>
          <w:szCs w:val="24"/>
        </w:rPr>
        <w:t xml:space="preserve"> eröffnen. Arbeitsrechtlich vermittelt § 99 Abs 6 UG allerdings nicht den Status von Universitätsprofessor/inn/en. </w:t>
      </w:r>
      <w:r w:rsidR="007F1C7D">
        <w:rPr>
          <w:rFonts w:ascii="Times New Roman" w:hAnsi="Times New Roman" w:cs="Times New Roman"/>
          <w:sz w:val="24"/>
          <w:szCs w:val="24"/>
        </w:rPr>
        <w:t>Wenn die nach § 99 Abs 6 UG den Universitätsprofessor/inn/en organisationsrechtlich gleichgestellten Assoziierten Professor/inn/en im Wege von Berufungen nach § 98 UG und nach § 99 Abs 1 UG auch arbeitsrechtlich zu Universitätsprofessor/inn/en werden können</w:t>
      </w:r>
      <w:r w:rsidR="007F1C7D">
        <w:rPr>
          <w:rStyle w:val="Funotenzeichen"/>
          <w:rFonts w:ascii="Times New Roman" w:hAnsi="Times New Roman" w:cs="Times New Roman"/>
          <w:sz w:val="24"/>
          <w:szCs w:val="24"/>
        </w:rPr>
        <w:footnoteReference w:id="15"/>
      </w:r>
      <w:r w:rsidR="007F1C7D">
        <w:rPr>
          <w:rFonts w:ascii="Times New Roman" w:hAnsi="Times New Roman" w:cs="Times New Roman"/>
          <w:sz w:val="24"/>
          <w:szCs w:val="24"/>
        </w:rPr>
        <w:t xml:space="preserve">, </w:t>
      </w:r>
      <w:r w:rsidR="00581FFB">
        <w:rPr>
          <w:rFonts w:ascii="Times New Roman" w:hAnsi="Times New Roman" w:cs="Times New Roman"/>
          <w:sz w:val="24"/>
          <w:szCs w:val="24"/>
        </w:rPr>
        <w:t>wäre nicht einzusehen</w:t>
      </w:r>
      <w:r w:rsidR="007F1C7D">
        <w:rPr>
          <w:rFonts w:ascii="Times New Roman" w:hAnsi="Times New Roman" w:cs="Times New Roman"/>
          <w:sz w:val="24"/>
          <w:szCs w:val="24"/>
        </w:rPr>
        <w:t>,</w:t>
      </w:r>
      <w:r w:rsidR="00581FFB">
        <w:rPr>
          <w:rFonts w:ascii="Times New Roman" w:hAnsi="Times New Roman" w:cs="Times New Roman"/>
          <w:sz w:val="24"/>
          <w:szCs w:val="24"/>
        </w:rPr>
        <w:t xml:space="preserve"> warum</w:t>
      </w:r>
      <w:r w:rsidR="007F1C7D">
        <w:rPr>
          <w:rFonts w:ascii="Times New Roman" w:hAnsi="Times New Roman" w:cs="Times New Roman"/>
          <w:sz w:val="24"/>
          <w:szCs w:val="24"/>
        </w:rPr>
        <w:t xml:space="preserve"> ihnen dies gerade </w:t>
      </w:r>
      <w:r w:rsidR="001A5E48">
        <w:rPr>
          <w:rFonts w:ascii="Times New Roman" w:hAnsi="Times New Roman" w:cs="Times New Roman"/>
          <w:sz w:val="24"/>
          <w:szCs w:val="24"/>
        </w:rPr>
        <w:t xml:space="preserve">nach der </w:t>
      </w:r>
      <w:r w:rsidR="004D10A7">
        <w:rPr>
          <w:rFonts w:ascii="Times New Roman" w:hAnsi="Times New Roman" w:cs="Times New Roman"/>
          <w:sz w:val="24"/>
          <w:szCs w:val="24"/>
        </w:rPr>
        <w:t xml:space="preserve">– </w:t>
      </w:r>
      <w:r w:rsidR="002037BC">
        <w:rPr>
          <w:rFonts w:ascii="Times New Roman" w:hAnsi="Times New Roman" w:cs="Times New Roman"/>
          <w:sz w:val="24"/>
          <w:szCs w:val="24"/>
        </w:rPr>
        <w:t>ihrem</w:t>
      </w:r>
      <w:r w:rsidR="004D10A7">
        <w:rPr>
          <w:rFonts w:ascii="Times New Roman" w:hAnsi="Times New Roman" w:cs="Times New Roman"/>
          <w:sz w:val="24"/>
          <w:szCs w:val="24"/>
        </w:rPr>
        <w:t xml:space="preserve"> </w:t>
      </w:r>
      <w:r w:rsidR="007F1C7D">
        <w:rPr>
          <w:rFonts w:ascii="Times New Roman" w:hAnsi="Times New Roman" w:cs="Times New Roman"/>
          <w:sz w:val="24"/>
          <w:szCs w:val="24"/>
        </w:rPr>
        <w:t>Wortlaut nach eindeutige</w:t>
      </w:r>
      <w:r w:rsidR="001A5E48">
        <w:rPr>
          <w:rFonts w:ascii="Times New Roman" w:hAnsi="Times New Roman" w:cs="Times New Roman"/>
          <w:sz w:val="24"/>
          <w:szCs w:val="24"/>
        </w:rPr>
        <w:t>n</w:t>
      </w:r>
      <w:r w:rsidR="007F1C7D">
        <w:rPr>
          <w:rFonts w:ascii="Times New Roman" w:hAnsi="Times New Roman" w:cs="Times New Roman"/>
          <w:sz w:val="24"/>
          <w:szCs w:val="24"/>
        </w:rPr>
        <w:t xml:space="preserve"> </w:t>
      </w:r>
      <w:r w:rsidR="004D10A7">
        <w:rPr>
          <w:rFonts w:ascii="Times New Roman" w:hAnsi="Times New Roman" w:cs="Times New Roman"/>
          <w:sz w:val="24"/>
          <w:szCs w:val="24"/>
        </w:rPr>
        <w:t xml:space="preserve">– </w:t>
      </w:r>
      <w:r w:rsidR="007F1C7D">
        <w:rPr>
          <w:rFonts w:ascii="Times New Roman" w:hAnsi="Times New Roman" w:cs="Times New Roman"/>
          <w:sz w:val="24"/>
          <w:szCs w:val="24"/>
        </w:rPr>
        <w:t>Vorschrift</w:t>
      </w:r>
      <w:r w:rsidR="004D10A7">
        <w:rPr>
          <w:rFonts w:ascii="Times New Roman" w:hAnsi="Times New Roman" w:cs="Times New Roman"/>
          <w:sz w:val="24"/>
          <w:szCs w:val="24"/>
        </w:rPr>
        <w:t xml:space="preserve"> </w:t>
      </w:r>
      <w:r w:rsidR="007F1C7D">
        <w:rPr>
          <w:rFonts w:ascii="Times New Roman" w:hAnsi="Times New Roman" w:cs="Times New Roman"/>
          <w:sz w:val="24"/>
          <w:szCs w:val="24"/>
        </w:rPr>
        <w:t xml:space="preserve">des § 99 Abs 4 UG </w:t>
      </w:r>
      <w:r w:rsidR="001A5E48">
        <w:rPr>
          <w:rFonts w:ascii="Times New Roman" w:hAnsi="Times New Roman" w:cs="Times New Roman"/>
          <w:sz w:val="24"/>
          <w:szCs w:val="24"/>
        </w:rPr>
        <w:t xml:space="preserve">verwehrt werden </w:t>
      </w:r>
      <w:r w:rsidR="002037BC">
        <w:rPr>
          <w:rFonts w:ascii="Times New Roman" w:hAnsi="Times New Roman" w:cs="Times New Roman"/>
          <w:sz w:val="24"/>
          <w:szCs w:val="24"/>
        </w:rPr>
        <w:t>sollte</w:t>
      </w:r>
      <w:r w:rsidR="007F1C7D">
        <w:rPr>
          <w:rFonts w:ascii="Times New Roman" w:hAnsi="Times New Roman" w:cs="Times New Roman"/>
          <w:sz w:val="24"/>
          <w:szCs w:val="24"/>
        </w:rPr>
        <w:t xml:space="preserve">. </w:t>
      </w:r>
      <w:r w:rsidR="001D7843" w:rsidRPr="009A7766">
        <w:rPr>
          <w:rFonts w:ascii="Times New Roman" w:hAnsi="Times New Roman" w:cs="Times New Roman"/>
          <w:i/>
          <w:sz w:val="24"/>
          <w:szCs w:val="24"/>
        </w:rPr>
        <w:t>Pichl</w:t>
      </w:r>
      <w:r w:rsidR="001D7843">
        <w:rPr>
          <w:rFonts w:ascii="Times New Roman" w:hAnsi="Times New Roman" w:cs="Times New Roman"/>
          <w:sz w:val="24"/>
          <w:szCs w:val="24"/>
        </w:rPr>
        <w:t xml:space="preserve"> </w:t>
      </w:r>
      <w:r w:rsidR="001E6C6F">
        <w:rPr>
          <w:rFonts w:ascii="Times New Roman" w:hAnsi="Times New Roman" w:cs="Times New Roman"/>
          <w:sz w:val="24"/>
          <w:szCs w:val="24"/>
        </w:rPr>
        <w:t>legte</w:t>
      </w:r>
      <w:r w:rsidR="001D7843">
        <w:rPr>
          <w:rFonts w:ascii="Times New Roman" w:hAnsi="Times New Roman" w:cs="Times New Roman"/>
          <w:sz w:val="24"/>
          <w:szCs w:val="24"/>
        </w:rPr>
        <w:t xml:space="preserve"> bereits anhand des – allerdings </w:t>
      </w:r>
      <w:r w:rsidR="001E6C6F">
        <w:rPr>
          <w:rFonts w:ascii="Times New Roman" w:hAnsi="Times New Roman" w:cs="Times New Roman"/>
          <w:sz w:val="24"/>
          <w:szCs w:val="24"/>
        </w:rPr>
        <w:t xml:space="preserve">noch </w:t>
      </w:r>
      <w:r w:rsidR="001D7843">
        <w:rPr>
          <w:rFonts w:ascii="Times New Roman" w:hAnsi="Times New Roman" w:cs="Times New Roman"/>
          <w:sz w:val="24"/>
          <w:szCs w:val="24"/>
        </w:rPr>
        <w:t xml:space="preserve">einer anderen Systematik folgenden – Ministerialentwurfs der UG-Novelle </w:t>
      </w:r>
      <w:r w:rsidR="001E6C6F">
        <w:rPr>
          <w:rFonts w:ascii="Times New Roman" w:hAnsi="Times New Roman" w:cs="Times New Roman"/>
          <w:sz w:val="24"/>
          <w:szCs w:val="24"/>
        </w:rPr>
        <w:t>dar</w:t>
      </w:r>
      <w:r w:rsidR="001D7843">
        <w:rPr>
          <w:rFonts w:ascii="Times New Roman" w:hAnsi="Times New Roman" w:cs="Times New Roman"/>
          <w:sz w:val="24"/>
          <w:szCs w:val="24"/>
        </w:rPr>
        <w:t xml:space="preserve">, warum es Sinn macht, den organisationsrechtlich den Universitätsprofessor/inn/en bereits gleichgestellten Assoziierten Professor/inn/en die Möglichkeit zu eröffnen, auch den arbeitsrechtlichen Status von Universitätsprofessor/inn/en zu erlangen: </w:t>
      </w:r>
      <w:r w:rsidR="001E6C6F">
        <w:rPr>
          <w:rFonts w:ascii="Times New Roman" w:hAnsi="Times New Roman" w:cs="Times New Roman"/>
          <w:sz w:val="24"/>
          <w:szCs w:val="24"/>
        </w:rPr>
        <w:t xml:space="preserve">Dies </w:t>
      </w:r>
      <w:r w:rsidR="002037BC">
        <w:rPr>
          <w:rFonts w:ascii="Times New Roman" w:hAnsi="Times New Roman" w:cs="Times New Roman"/>
          <w:sz w:val="24"/>
          <w:szCs w:val="24"/>
        </w:rPr>
        <w:t>ist</w:t>
      </w:r>
      <w:r w:rsidR="001E6C6F">
        <w:rPr>
          <w:rFonts w:ascii="Times New Roman" w:hAnsi="Times New Roman" w:cs="Times New Roman"/>
          <w:sz w:val="24"/>
          <w:szCs w:val="24"/>
        </w:rPr>
        <w:t xml:space="preserve"> der „‘Schlussstein‘ zur Herstellung eines wirklichen Tenure-Track-Modells im gegebenen Rahmen der österreichischen Personalrechtssystematik“</w:t>
      </w:r>
      <w:r w:rsidR="001E6C6F">
        <w:rPr>
          <w:rStyle w:val="Funotenzeichen"/>
          <w:rFonts w:ascii="Times New Roman" w:hAnsi="Times New Roman" w:cs="Times New Roman"/>
          <w:sz w:val="24"/>
          <w:szCs w:val="24"/>
        </w:rPr>
        <w:footnoteReference w:id="16"/>
      </w:r>
      <w:r w:rsidR="001E6C6F">
        <w:rPr>
          <w:rFonts w:ascii="Times New Roman" w:hAnsi="Times New Roman" w:cs="Times New Roman"/>
          <w:sz w:val="24"/>
          <w:szCs w:val="24"/>
        </w:rPr>
        <w:t xml:space="preserve">. </w:t>
      </w:r>
      <w:r w:rsidR="001E6C6F" w:rsidRPr="009A7766">
        <w:rPr>
          <w:rFonts w:ascii="Times New Roman" w:hAnsi="Times New Roman" w:cs="Times New Roman"/>
          <w:i/>
          <w:sz w:val="24"/>
          <w:szCs w:val="24"/>
        </w:rPr>
        <w:t>Pichl</w:t>
      </w:r>
      <w:r w:rsidR="001E6C6F">
        <w:rPr>
          <w:rFonts w:ascii="Times New Roman" w:hAnsi="Times New Roman" w:cs="Times New Roman"/>
          <w:sz w:val="24"/>
          <w:szCs w:val="24"/>
        </w:rPr>
        <w:t xml:space="preserve"> wies darauf hin, dass sich dadurch „nicht nur der dienstrechtliche Status“ der Assoziierten Professor/inn/en hin zu Universitätsprofessor/inn/en</w:t>
      </w:r>
      <w:r w:rsidR="002037BC">
        <w:rPr>
          <w:rFonts w:ascii="Times New Roman" w:hAnsi="Times New Roman" w:cs="Times New Roman"/>
          <w:sz w:val="24"/>
          <w:szCs w:val="24"/>
        </w:rPr>
        <w:t xml:space="preserve"> verändert</w:t>
      </w:r>
      <w:r w:rsidR="001E6C6F">
        <w:rPr>
          <w:rFonts w:ascii="Times New Roman" w:hAnsi="Times New Roman" w:cs="Times New Roman"/>
          <w:sz w:val="24"/>
          <w:szCs w:val="24"/>
        </w:rPr>
        <w:t>, sondern dass dies auch mit einer Mittelausstattung verbunden sein kann</w:t>
      </w:r>
      <w:r w:rsidR="002037BC">
        <w:rPr>
          <w:rStyle w:val="Funotenzeichen"/>
          <w:rFonts w:ascii="Times New Roman" w:hAnsi="Times New Roman" w:cs="Times New Roman"/>
          <w:sz w:val="24"/>
          <w:szCs w:val="24"/>
        </w:rPr>
        <w:footnoteReference w:id="17"/>
      </w:r>
      <w:r w:rsidR="001E6C6F">
        <w:rPr>
          <w:rFonts w:ascii="Times New Roman" w:hAnsi="Times New Roman" w:cs="Times New Roman"/>
          <w:sz w:val="24"/>
          <w:szCs w:val="24"/>
        </w:rPr>
        <w:t>.</w:t>
      </w:r>
      <w:r w:rsidR="005662F0">
        <w:rPr>
          <w:rFonts w:ascii="Times New Roman" w:hAnsi="Times New Roman" w:cs="Times New Roman"/>
          <w:sz w:val="24"/>
          <w:szCs w:val="24"/>
        </w:rPr>
        <w:t xml:space="preserve"> </w:t>
      </w:r>
      <w:r w:rsidR="00303E0C">
        <w:rPr>
          <w:rFonts w:ascii="Times New Roman" w:hAnsi="Times New Roman" w:cs="Times New Roman"/>
          <w:sz w:val="24"/>
          <w:szCs w:val="24"/>
          <w:lang w:val="de-DE"/>
        </w:rPr>
        <w:t>Mit der Bezeichnung Assoziierte/r Professor/in knüpft daher § 99 Abs 4 UG an § 27 des Kollektivvertrags an, und zwar unabhängig davon, ob diese Personen bereits ein Auswahlverfahren nach § 99 Abs 5 UG durchlaufen haben. Die Gruppe der von § 99 Abs 4 UG angesprochenen Assoziierten Professor/inn</w:t>
      </w:r>
      <w:r w:rsidR="00E675CB">
        <w:rPr>
          <w:rFonts w:ascii="Times New Roman" w:hAnsi="Times New Roman" w:cs="Times New Roman"/>
          <w:sz w:val="24"/>
          <w:szCs w:val="24"/>
          <w:lang w:val="de-DE"/>
        </w:rPr>
        <w:t>/</w:t>
      </w:r>
      <w:r w:rsidR="00303E0C">
        <w:rPr>
          <w:rFonts w:ascii="Times New Roman" w:hAnsi="Times New Roman" w:cs="Times New Roman"/>
          <w:sz w:val="24"/>
          <w:szCs w:val="24"/>
          <w:lang w:val="de-DE"/>
        </w:rPr>
        <w:t>en umfasst daher die Personen, die unter § 99 Abs 6 UG fallen, geht aber auch darüber hinaus.</w:t>
      </w:r>
      <w:r w:rsidR="002A562A">
        <w:rPr>
          <w:rStyle w:val="Funotenzeichen"/>
          <w:rFonts w:ascii="Times New Roman" w:hAnsi="Times New Roman" w:cs="Times New Roman"/>
          <w:sz w:val="24"/>
          <w:szCs w:val="24"/>
          <w:lang w:val="de-DE"/>
        </w:rPr>
        <w:footnoteReference w:id="18"/>
      </w:r>
    </w:p>
    <w:p w14:paraId="2554BA59" w14:textId="69110C3B" w:rsidR="004F4250" w:rsidRDefault="00840436" w:rsidP="002C10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Die Frage, ob mit </w:t>
      </w:r>
      <w:r w:rsidR="007E7DB4">
        <w:rPr>
          <w:rFonts w:ascii="Times New Roman" w:hAnsi="Times New Roman" w:cs="Times New Roman"/>
          <w:sz w:val="24"/>
          <w:szCs w:val="24"/>
        </w:rPr>
        <w:t xml:space="preserve">den </w:t>
      </w:r>
      <w:r>
        <w:rPr>
          <w:rFonts w:ascii="Times New Roman" w:hAnsi="Times New Roman" w:cs="Times New Roman"/>
          <w:sz w:val="24"/>
          <w:szCs w:val="24"/>
        </w:rPr>
        <w:t>in</w:t>
      </w:r>
      <w:r w:rsidRPr="00840436">
        <w:rPr>
          <w:rFonts w:ascii="Times New Roman" w:hAnsi="Times New Roman" w:cs="Times New Roman"/>
          <w:sz w:val="24"/>
          <w:szCs w:val="24"/>
        </w:rPr>
        <w:t xml:space="preserve"> § 99 Abs 4 UG </w:t>
      </w:r>
      <w:r>
        <w:rPr>
          <w:rFonts w:ascii="Times New Roman" w:hAnsi="Times New Roman" w:cs="Times New Roman"/>
          <w:sz w:val="24"/>
          <w:szCs w:val="24"/>
        </w:rPr>
        <w:t>angesprochenen</w:t>
      </w:r>
      <w:r w:rsidRPr="00840436">
        <w:rPr>
          <w:rFonts w:ascii="Times New Roman" w:hAnsi="Times New Roman" w:cs="Times New Roman"/>
          <w:sz w:val="24"/>
          <w:szCs w:val="24"/>
        </w:rPr>
        <w:t xml:space="preserve"> „Stellen für Universitätsdozentinnen</w:t>
      </w:r>
      <w:r>
        <w:rPr>
          <w:rFonts w:ascii="Times New Roman" w:hAnsi="Times New Roman" w:cs="Times New Roman"/>
          <w:sz w:val="24"/>
          <w:szCs w:val="24"/>
        </w:rPr>
        <w:t xml:space="preserve"> </w:t>
      </w:r>
      <w:r w:rsidRPr="00840436">
        <w:rPr>
          <w:rFonts w:ascii="Times New Roman" w:hAnsi="Times New Roman" w:cs="Times New Roman"/>
          <w:sz w:val="24"/>
          <w:szCs w:val="24"/>
        </w:rPr>
        <w:t>und Universitätsdozenten gemäß § 94 Abs 2</w:t>
      </w:r>
      <w:r>
        <w:rPr>
          <w:rFonts w:ascii="Times New Roman" w:hAnsi="Times New Roman" w:cs="Times New Roman"/>
          <w:sz w:val="24"/>
          <w:szCs w:val="24"/>
        </w:rPr>
        <w:t xml:space="preserve"> </w:t>
      </w:r>
      <w:r w:rsidRPr="00840436">
        <w:rPr>
          <w:rFonts w:ascii="Times New Roman" w:hAnsi="Times New Roman" w:cs="Times New Roman"/>
          <w:sz w:val="24"/>
          <w:szCs w:val="24"/>
        </w:rPr>
        <w:t>Z 2</w:t>
      </w:r>
      <w:r w:rsidR="00917F91">
        <w:rPr>
          <w:rFonts w:ascii="Times New Roman" w:hAnsi="Times New Roman" w:cs="Times New Roman"/>
          <w:sz w:val="24"/>
          <w:szCs w:val="24"/>
        </w:rPr>
        <w:t xml:space="preserve"> und für Assoziierte Professorinnen und Professoren</w:t>
      </w:r>
      <w:r w:rsidRPr="00840436">
        <w:rPr>
          <w:rFonts w:ascii="Times New Roman" w:hAnsi="Times New Roman" w:cs="Times New Roman"/>
          <w:sz w:val="24"/>
          <w:szCs w:val="24"/>
        </w:rPr>
        <w:t>“ nur Angehörige</w:t>
      </w:r>
      <w:r>
        <w:rPr>
          <w:rFonts w:ascii="Times New Roman" w:hAnsi="Times New Roman" w:cs="Times New Roman"/>
          <w:sz w:val="24"/>
          <w:szCs w:val="24"/>
        </w:rPr>
        <w:t xml:space="preserve"> </w:t>
      </w:r>
      <w:r w:rsidRPr="00840436">
        <w:rPr>
          <w:rFonts w:ascii="Times New Roman" w:hAnsi="Times New Roman" w:cs="Times New Roman"/>
          <w:sz w:val="24"/>
          <w:szCs w:val="24"/>
        </w:rPr>
        <w:t>jener Universität gemeint sind, an der die Stellen</w:t>
      </w:r>
      <w:r>
        <w:rPr>
          <w:rFonts w:ascii="Times New Roman" w:hAnsi="Times New Roman" w:cs="Times New Roman"/>
          <w:sz w:val="24"/>
          <w:szCs w:val="24"/>
        </w:rPr>
        <w:t xml:space="preserve"> </w:t>
      </w:r>
      <w:r w:rsidRPr="00840436">
        <w:rPr>
          <w:rFonts w:ascii="Times New Roman" w:hAnsi="Times New Roman" w:cs="Times New Roman"/>
          <w:sz w:val="24"/>
          <w:szCs w:val="24"/>
        </w:rPr>
        <w:t>ausgeschrieben werden</w:t>
      </w:r>
      <w:r>
        <w:rPr>
          <w:rFonts w:ascii="Times New Roman" w:hAnsi="Times New Roman" w:cs="Times New Roman"/>
          <w:sz w:val="24"/>
          <w:szCs w:val="24"/>
        </w:rPr>
        <w:t>, haben wir schon an anderer Stelle behandelt</w:t>
      </w:r>
      <w:r w:rsidR="0092750F">
        <w:rPr>
          <w:rStyle w:val="Funotenzeichen"/>
          <w:rFonts w:ascii="Times New Roman" w:hAnsi="Times New Roman" w:cs="Times New Roman"/>
          <w:sz w:val="24"/>
          <w:szCs w:val="24"/>
        </w:rPr>
        <w:footnoteReference w:id="19"/>
      </w:r>
      <w:r>
        <w:rPr>
          <w:rFonts w:ascii="Times New Roman" w:hAnsi="Times New Roman" w:cs="Times New Roman"/>
          <w:sz w:val="24"/>
          <w:szCs w:val="24"/>
        </w:rPr>
        <w:t>. An sich gibt es</w:t>
      </w:r>
      <w:r w:rsidRPr="00840436">
        <w:rPr>
          <w:rFonts w:ascii="Times New Roman" w:hAnsi="Times New Roman" w:cs="Times New Roman"/>
          <w:sz w:val="24"/>
          <w:szCs w:val="24"/>
        </w:rPr>
        <w:t xml:space="preserve"> Universitätsdozent/inn/en gemäß § 27 Abs 3 UOG 1993 oder § 28 Abs 3 KUOG,</w:t>
      </w:r>
      <w:r>
        <w:rPr>
          <w:rFonts w:ascii="Times New Roman" w:hAnsi="Times New Roman" w:cs="Times New Roman"/>
          <w:sz w:val="24"/>
          <w:szCs w:val="24"/>
        </w:rPr>
        <w:t xml:space="preserve"> </w:t>
      </w:r>
      <w:r w:rsidRPr="00840436">
        <w:rPr>
          <w:rFonts w:ascii="Times New Roman" w:hAnsi="Times New Roman" w:cs="Times New Roman"/>
          <w:sz w:val="24"/>
          <w:szCs w:val="24"/>
        </w:rPr>
        <w:t>die den Amtstitel Außerordentliche Universitätsprofessorin</w:t>
      </w:r>
      <w:r>
        <w:rPr>
          <w:rFonts w:ascii="Times New Roman" w:hAnsi="Times New Roman" w:cs="Times New Roman"/>
          <w:sz w:val="24"/>
          <w:szCs w:val="24"/>
        </w:rPr>
        <w:t xml:space="preserve"> </w:t>
      </w:r>
      <w:r w:rsidRPr="00840436">
        <w:rPr>
          <w:rFonts w:ascii="Times New Roman" w:hAnsi="Times New Roman" w:cs="Times New Roman"/>
          <w:sz w:val="24"/>
          <w:szCs w:val="24"/>
        </w:rPr>
        <w:t>oder Außerordentlicher Universitätsprofessor</w:t>
      </w:r>
      <w:r>
        <w:rPr>
          <w:rFonts w:ascii="Times New Roman" w:hAnsi="Times New Roman" w:cs="Times New Roman"/>
          <w:sz w:val="24"/>
          <w:szCs w:val="24"/>
        </w:rPr>
        <w:t xml:space="preserve"> </w:t>
      </w:r>
      <w:r w:rsidRPr="00840436">
        <w:rPr>
          <w:rFonts w:ascii="Times New Roman" w:hAnsi="Times New Roman" w:cs="Times New Roman"/>
          <w:sz w:val="24"/>
          <w:szCs w:val="24"/>
        </w:rPr>
        <w:t xml:space="preserve">tragen, </w:t>
      </w:r>
      <w:r>
        <w:rPr>
          <w:rFonts w:ascii="Times New Roman" w:hAnsi="Times New Roman" w:cs="Times New Roman"/>
          <w:sz w:val="24"/>
          <w:szCs w:val="24"/>
        </w:rPr>
        <w:t xml:space="preserve">nämlich </w:t>
      </w:r>
      <w:r w:rsidRPr="00840436">
        <w:rPr>
          <w:rFonts w:ascii="Times New Roman" w:hAnsi="Times New Roman" w:cs="Times New Roman"/>
          <w:sz w:val="24"/>
          <w:szCs w:val="24"/>
        </w:rPr>
        <w:t>an vielen österreichischen Universitäten.</w:t>
      </w:r>
      <w:r>
        <w:rPr>
          <w:rFonts w:ascii="Times New Roman" w:hAnsi="Times New Roman" w:cs="Times New Roman"/>
          <w:sz w:val="24"/>
          <w:szCs w:val="24"/>
        </w:rPr>
        <w:t xml:space="preserve"> Zu der</w:t>
      </w:r>
      <w:r w:rsidRPr="00840436">
        <w:rPr>
          <w:rFonts w:ascii="Times New Roman" w:hAnsi="Times New Roman" w:cs="Times New Roman"/>
          <w:sz w:val="24"/>
          <w:szCs w:val="24"/>
        </w:rPr>
        <w:t xml:space="preserve"> insoweit vergleichbaren</w:t>
      </w:r>
      <w:r>
        <w:rPr>
          <w:rFonts w:ascii="Times New Roman" w:hAnsi="Times New Roman" w:cs="Times New Roman"/>
          <w:sz w:val="24"/>
          <w:szCs w:val="24"/>
        </w:rPr>
        <w:t xml:space="preserve"> </w:t>
      </w:r>
      <w:r w:rsidRPr="00840436">
        <w:rPr>
          <w:rFonts w:ascii="Times New Roman" w:hAnsi="Times New Roman" w:cs="Times New Roman"/>
          <w:sz w:val="24"/>
          <w:szCs w:val="24"/>
        </w:rPr>
        <w:t xml:space="preserve">Vorschrift des § 99 Abs 3 UG </w:t>
      </w:r>
      <w:r>
        <w:rPr>
          <w:rFonts w:ascii="Times New Roman" w:hAnsi="Times New Roman" w:cs="Times New Roman"/>
          <w:sz w:val="24"/>
          <w:szCs w:val="24"/>
        </w:rPr>
        <w:t xml:space="preserve">hat </w:t>
      </w:r>
      <w:r w:rsidRPr="00840436">
        <w:rPr>
          <w:rFonts w:ascii="Times New Roman" w:hAnsi="Times New Roman" w:cs="Times New Roman"/>
          <w:i/>
          <w:iCs/>
          <w:sz w:val="24"/>
          <w:szCs w:val="24"/>
        </w:rPr>
        <w:t xml:space="preserve">Kucsko-Stadlmayer </w:t>
      </w:r>
      <w:r>
        <w:rPr>
          <w:rFonts w:ascii="Times New Roman" w:hAnsi="Times New Roman" w:cs="Times New Roman"/>
          <w:sz w:val="24"/>
          <w:szCs w:val="24"/>
        </w:rPr>
        <w:t>folgende Auffassung vertreten</w:t>
      </w:r>
      <w:r w:rsidR="0092750F">
        <w:rPr>
          <w:rStyle w:val="Funotenzeichen"/>
          <w:rFonts w:ascii="Times New Roman" w:hAnsi="Times New Roman" w:cs="Times New Roman"/>
          <w:sz w:val="24"/>
          <w:szCs w:val="24"/>
        </w:rPr>
        <w:footnoteReference w:id="20"/>
      </w:r>
      <w:r w:rsidRPr="00840436">
        <w:rPr>
          <w:rFonts w:ascii="Times New Roman" w:hAnsi="Times New Roman" w:cs="Times New Roman"/>
          <w:sz w:val="24"/>
          <w:szCs w:val="24"/>
        </w:rPr>
        <w:t>:</w:t>
      </w:r>
      <w:r>
        <w:rPr>
          <w:rFonts w:ascii="Times New Roman" w:hAnsi="Times New Roman" w:cs="Times New Roman"/>
          <w:sz w:val="24"/>
          <w:szCs w:val="24"/>
        </w:rPr>
        <w:t xml:space="preserve"> </w:t>
      </w:r>
      <w:r w:rsidRPr="00840436">
        <w:rPr>
          <w:rFonts w:ascii="Times New Roman" w:hAnsi="Times New Roman" w:cs="Times New Roman"/>
          <w:sz w:val="24"/>
          <w:szCs w:val="24"/>
        </w:rPr>
        <w:t>„Mögliche Bewerber für die ausgeschriebenen Stellen</w:t>
      </w:r>
      <w:r>
        <w:rPr>
          <w:rFonts w:ascii="Times New Roman" w:hAnsi="Times New Roman" w:cs="Times New Roman"/>
          <w:sz w:val="24"/>
          <w:szCs w:val="24"/>
        </w:rPr>
        <w:t xml:space="preserve"> </w:t>
      </w:r>
      <w:r w:rsidRPr="00840436">
        <w:rPr>
          <w:rFonts w:ascii="Times New Roman" w:hAnsi="Times New Roman" w:cs="Times New Roman"/>
          <w:sz w:val="24"/>
          <w:szCs w:val="24"/>
        </w:rPr>
        <w:t>sind nach der Intention des Gesetzgebers nur die Universitätsdozenten</w:t>
      </w:r>
      <w:r>
        <w:rPr>
          <w:rFonts w:ascii="Times New Roman" w:hAnsi="Times New Roman" w:cs="Times New Roman"/>
          <w:sz w:val="24"/>
          <w:szCs w:val="24"/>
        </w:rPr>
        <w:t xml:space="preserve"> </w:t>
      </w:r>
      <w:r w:rsidRPr="00840436">
        <w:rPr>
          <w:rFonts w:ascii="Times New Roman" w:hAnsi="Times New Roman" w:cs="Times New Roman"/>
          <w:sz w:val="24"/>
          <w:szCs w:val="24"/>
        </w:rPr>
        <w:t>iSv § 122 UG, die der ausschreibenden</w:t>
      </w:r>
      <w:r>
        <w:rPr>
          <w:rFonts w:ascii="Times New Roman" w:hAnsi="Times New Roman" w:cs="Times New Roman"/>
          <w:sz w:val="24"/>
          <w:szCs w:val="24"/>
        </w:rPr>
        <w:t xml:space="preserve"> </w:t>
      </w:r>
      <w:r w:rsidRPr="00840436">
        <w:rPr>
          <w:rFonts w:ascii="Times New Roman" w:hAnsi="Times New Roman" w:cs="Times New Roman"/>
          <w:sz w:val="24"/>
          <w:szCs w:val="24"/>
        </w:rPr>
        <w:t>Universität angehören. Dies ist zwar nicht ausdrücklich</w:t>
      </w:r>
      <w:r>
        <w:rPr>
          <w:rFonts w:ascii="Times New Roman" w:hAnsi="Times New Roman" w:cs="Times New Roman"/>
          <w:sz w:val="24"/>
          <w:szCs w:val="24"/>
        </w:rPr>
        <w:t xml:space="preserve"> </w:t>
      </w:r>
      <w:r w:rsidRPr="00840436">
        <w:rPr>
          <w:rFonts w:ascii="Times New Roman" w:hAnsi="Times New Roman" w:cs="Times New Roman"/>
          <w:sz w:val="24"/>
          <w:szCs w:val="24"/>
        </w:rPr>
        <w:t>normiert, folgt aber aus dem Sinn der Regelung, den</w:t>
      </w:r>
      <w:r>
        <w:rPr>
          <w:rFonts w:ascii="Times New Roman" w:hAnsi="Times New Roman" w:cs="Times New Roman"/>
          <w:sz w:val="24"/>
          <w:szCs w:val="24"/>
        </w:rPr>
        <w:t xml:space="preserve"> </w:t>
      </w:r>
      <w:r w:rsidRPr="00840436">
        <w:rPr>
          <w:rFonts w:ascii="Times New Roman" w:hAnsi="Times New Roman" w:cs="Times New Roman"/>
          <w:sz w:val="24"/>
          <w:szCs w:val="24"/>
        </w:rPr>
        <w:t>qualifiziertesten 20% dieser Universitätsdozenten die</w:t>
      </w:r>
      <w:r>
        <w:rPr>
          <w:rFonts w:ascii="Times New Roman" w:hAnsi="Times New Roman" w:cs="Times New Roman"/>
          <w:sz w:val="24"/>
          <w:szCs w:val="24"/>
        </w:rPr>
        <w:t xml:space="preserve"> </w:t>
      </w:r>
      <w:r w:rsidRPr="00840436">
        <w:rPr>
          <w:rFonts w:ascii="Times New Roman" w:hAnsi="Times New Roman" w:cs="Times New Roman"/>
          <w:sz w:val="24"/>
          <w:szCs w:val="24"/>
        </w:rPr>
        <w:t>Überleitung in den Professorenstatus zu ermöglichen.</w:t>
      </w:r>
      <w:r>
        <w:rPr>
          <w:rFonts w:ascii="Times New Roman" w:hAnsi="Times New Roman" w:cs="Times New Roman"/>
          <w:sz w:val="24"/>
          <w:szCs w:val="24"/>
        </w:rPr>
        <w:t xml:space="preserve"> </w:t>
      </w:r>
      <w:r w:rsidRPr="00840436">
        <w:rPr>
          <w:rFonts w:ascii="Times New Roman" w:hAnsi="Times New Roman" w:cs="Times New Roman"/>
          <w:sz w:val="24"/>
          <w:szCs w:val="24"/>
        </w:rPr>
        <w:t>Es ist überdies daraus zu schließen, dass die Ausschreibung</w:t>
      </w:r>
      <w:r>
        <w:rPr>
          <w:rFonts w:ascii="Times New Roman" w:hAnsi="Times New Roman" w:cs="Times New Roman"/>
          <w:sz w:val="24"/>
          <w:szCs w:val="24"/>
        </w:rPr>
        <w:t xml:space="preserve"> </w:t>
      </w:r>
      <w:r w:rsidRPr="00840436">
        <w:rPr>
          <w:rFonts w:ascii="Times New Roman" w:hAnsi="Times New Roman" w:cs="Times New Roman"/>
          <w:sz w:val="24"/>
          <w:szCs w:val="24"/>
        </w:rPr>
        <w:t>nur intern, im Mitteilungsblatt der jeweiligen Universität,</w:t>
      </w:r>
      <w:r>
        <w:rPr>
          <w:rFonts w:ascii="Times New Roman" w:hAnsi="Times New Roman" w:cs="Times New Roman"/>
          <w:sz w:val="24"/>
          <w:szCs w:val="24"/>
        </w:rPr>
        <w:t xml:space="preserve"> </w:t>
      </w:r>
      <w:r w:rsidRPr="00840436">
        <w:rPr>
          <w:rFonts w:ascii="Times New Roman" w:hAnsi="Times New Roman" w:cs="Times New Roman"/>
          <w:sz w:val="24"/>
          <w:szCs w:val="24"/>
        </w:rPr>
        <w:t>zu erfolgen hat. § 98 Abs 2 UG ist – anders als</w:t>
      </w:r>
      <w:r>
        <w:rPr>
          <w:rFonts w:ascii="Times New Roman" w:hAnsi="Times New Roman" w:cs="Times New Roman"/>
          <w:sz w:val="24"/>
          <w:szCs w:val="24"/>
        </w:rPr>
        <w:t xml:space="preserve"> </w:t>
      </w:r>
      <w:r w:rsidRPr="00840436">
        <w:rPr>
          <w:rFonts w:ascii="Times New Roman" w:hAnsi="Times New Roman" w:cs="Times New Roman"/>
          <w:sz w:val="24"/>
          <w:szCs w:val="24"/>
        </w:rPr>
        <w:t>beim Verfahren nach § 99 Abs 1 – nicht anwendbar.“</w:t>
      </w:r>
      <w:r>
        <w:rPr>
          <w:rFonts w:ascii="Times New Roman" w:hAnsi="Times New Roman" w:cs="Times New Roman"/>
          <w:sz w:val="24"/>
          <w:szCs w:val="24"/>
        </w:rPr>
        <w:t xml:space="preserve"> </w:t>
      </w:r>
      <w:r w:rsidRPr="00840436">
        <w:rPr>
          <w:rFonts w:ascii="Times New Roman" w:hAnsi="Times New Roman" w:cs="Times New Roman"/>
          <w:sz w:val="24"/>
          <w:szCs w:val="24"/>
        </w:rPr>
        <w:t>Angesichts des Umstands, dass § 99 Abs 4 UG genauso</w:t>
      </w:r>
      <w:r>
        <w:rPr>
          <w:rFonts w:ascii="Times New Roman" w:hAnsi="Times New Roman" w:cs="Times New Roman"/>
          <w:sz w:val="24"/>
          <w:szCs w:val="24"/>
        </w:rPr>
        <w:t xml:space="preserve"> </w:t>
      </w:r>
      <w:r w:rsidRPr="00840436">
        <w:rPr>
          <w:rFonts w:ascii="Times New Roman" w:hAnsi="Times New Roman" w:cs="Times New Roman"/>
          <w:sz w:val="24"/>
          <w:szCs w:val="24"/>
        </w:rPr>
        <w:t>wie § 99 Abs 3 UG von „Universitätsdozentinnen und</w:t>
      </w:r>
      <w:r>
        <w:rPr>
          <w:rFonts w:ascii="Times New Roman" w:hAnsi="Times New Roman" w:cs="Times New Roman"/>
          <w:sz w:val="24"/>
          <w:szCs w:val="24"/>
        </w:rPr>
        <w:t xml:space="preserve"> </w:t>
      </w:r>
      <w:r w:rsidRPr="00840436">
        <w:rPr>
          <w:rFonts w:ascii="Times New Roman" w:hAnsi="Times New Roman" w:cs="Times New Roman"/>
          <w:sz w:val="24"/>
          <w:szCs w:val="24"/>
        </w:rPr>
        <w:t>Universitätsdozenten gemäß § 94 Abs 2 Z 2“ spricht, ist</w:t>
      </w:r>
      <w:r>
        <w:rPr>
          <w:rFonts w:ascii="Times New Roman" w:hAnsi="Times New Roman" w:cs="Times New Roman"/>
          <w:sz w:val="24"/>
          <w:szCs w:val="24"/>
        </w:rPr>
        <w:t xml:space="preserve"> </w:t>
      </w:r>
      <w:r w:rsidRPr="00840436">
        <w:rPr>
          <w:rFonts w:ascii="Times New Roman" w:hAnsi="Times New Roman" w:cs="Times New Roman"/>
          <w:sz w:val="24"/>
          <w:szCs w:val="24"/>
        </w:rPr>
        <w:t>davon auszugehen, dass dieser Wortfolge in § 99 Abs 4</w:t>
      </w:r>
      <w:r>
        <w:rPr>
          <w:rFonts w:ascii="Times New Roman" w:hAnsi="Times New Roman" w:cs="Times New Roman"/>
          <w:sz w:val="24"/>
          <w:szCs w:val="24"/>
        </w:rPr>
        <w:t xml:space="preserve"> </w:t>
      </w:r>
      <w:r w:rsidRPr="00840436">
        <w:rPr>
          <w:rFonts w:ascii="Times New Roman" w:hAnsi="Times New Roman" w:cs="Times New Roman"/>
          <w:sz w:val="24"/>
          <w:szCs w:val="24"/>
        </w:rPr>
        <w:t>UG kein anderer Inhalt beizumessen ist. Zwar enthält</w:t>
      </w:r>
      <w:r>
        <w:rPr>
          <w:rFonts w:ascii="Times New Roman" w:hAnsi="Times New Roman" w:cs="Times New Roman"/>
          <w:sz w:val="24"/>
          <w:szCs w:val="24"/>
        </w:rPr>
        <w:t xml:space="preserve"> </w:t>
      </w:r>
      <w:r w:rsidRPr="00840436">
        <w:rPr>
          <w:rFonts w:ascii="Times New Roman" w:hAnsi="Times New Roman" w:cs="Times New Roman"/>
          <w:sz w:val="24"/>
          <w:szCs w:val="24"/>
        </w:rPr>
        <w:t>§ 99 Abs 4 UG keine an der Gesamtzahl der der</w:t>
      </w:r>
      <w:r>
        <w:rPr>
          <w:rFonts w:ascii="Times New Roman" w:hAnsi="Times New Roman" w:cs="Times New Roman"/>
          <w:sz w:val="24"/>
          <w:szCs w:val="24"/>
        </w:rPr>
        <w:t xml:space="preserve"> </w:t>
      </w:r>
      <w:r w:rsidRPr="00840436">
        <w:rPr>
          <w:rFonts w:ascii="Times New Roman" w:hAnsi="Times New Roman" w:cs="Times New Roman"/>
          <w:sz w:val="24"/>
          <w:szCs w:val="24"/>
        </w:rPr>
        <w:t>Universität angehörenden Universitätsdozent/inn/en</w:t>
      </w:r>
      <w:r w:rsidR="002C10F3">
        <w:rPr>
          <w:rFonts w:ascii="Times New Roman" w:hAnsi="Times New Roman" w:cs="Times New Roman"/>
          <w:sz w:val="24"/>
          <w:szCs w:val="24"/>
        </w:rPr>
        <w:t xml:space="preserve"> </w:t>
      </w:r>
      <w:r w:rsidRPr="00840436">
        <w:rPr>
          <w:rFonts w:ascii="Times New Roman" w:hAnsi="Times New Roman" w:cs="Times New Roman"/>
          <w:sz w:val="24"/>
          <w:szCs w:val="24"/>
        </w:rPr>
        <w:t>orientierte Höchstgrenze, doch ist auch erkennbar, dass</w:t>
      </w:r>
      <w:r w:rsidR="002C10F3">
        <w:rPr>
          <w:rFonts w:ascii="Times New Roman" w:hAnsi="Times New Roman" w:cs="Times New Roman"/>
          <w:sz w:val="24"/>
          <w:szCs w:val="24"/>
        </w:rPr>
        <w:t xml:space="preserve"> </w:t>
      </w:r>
      <w:r w:rsidRPr="00840436">
        <w:rPr>
          <w:rFonts w:ascii="Times New Roman" w:hAnsi="Times New Roman" w:cs="Times New Roman"/>
          <w:sz w:val="24"/>
          <w:szCs w:val="24"/>
        </w:rPr>
        <w:t>§ 99 Abs 4 UG mit der Vorschrift des § 99 Abs 6 UG</w:t>
      </w:r>
      <w:r w:rsidR="002C10F3">
        <w:rPr>
          <w:rFonts w:ascii="Times New Roman" w:hAnsi="Times New Roman" w:cs="Times New Roman"/>
          <w:sz w:val="24"/>
          <w:szCs w:val="24"/>
        </w:rPr>
        <w:t xml:space="preserve"> </w:t>
      </w:r>
      <w:r w:rsidRPr="00840436">
        <w:rPr>
          <w:rFonts w:ascii="Times New Roman" w:hAnsi="Times New Roman" w:cs="Times New Roman"/>
          <w:sz w:val="24"/>
          <w:szCs w:val="24"/>
        </w:rPr>
        <w:t>in Zusammenhang steht: § 99 Abs 6 UG will Karriereperspektiven</w:t>
      </w:r>
      <w:r w:rsidR="002C10F3">
        <w:rPr>
          <w:rFonts w:ascii="Times New Roman" w:hAnsi="Times New Roman" w:cs="Times New Roman"/>
          <w:sz w:val="24"/>
          <w:szCs w:val="24"/>
        </w:rPr>
        <w:t xml:space="preserve"> </w:t>
      </w:r>
      <w:r w:rsidRPr="00840436">
        <w:rPr>
          <w:rFonts w:ascii="Times New Roman" w:hAnsi="Times New Roman" w:cs="Times New Roman"/>
          <w:sz w:val="24"/>
          <w:szCs w:val="24"/>
        </w:rPr>
        <w:t>für der Universität angehörende Personen</w:t>
      </w:r>
      <w:r w:rsidR="002C10F3">
        <w:rPr>
          <w:rFonts w:ascii="Times New Roman" w:hAnsi="Times New Roman" w:cs="Times New Roman"/>
          <w:sz w:val="24"/>
          <w:szCs w:val="24"/>
        </w:rPr>
        <w:t xml:space="preserve"> </w:t>
      </w:r>
      <w:r w:rsidRPr="00840436">
        <w:rPr>
          <w:rFonts w:ascii="Times New Roman" w:hAnsi="Times New Roman" w:cs="Times New Roman"/>
          <w:sz w:val="24"/>
          <w:szCs w:val="24"/>
        </w:rPr>
        <w:t>schaffen. Die Regelung des § 99 Abs 4 UG dient als Ausgleich</w:t>
      </w:r>
      <w:r w:rsidR="002C10F3">
        <w:rPr>
          <w:rFonts w:ascii="Times New Roman" w:hAnsi="Times New Roman" w:cs="Times New Roman"/>
          <w:sz w:val="24"/>
          <w:szCs w:val="24"/>
        </w:rPr>
        <w:t xml:space="preserve"> </w:t>
      </w:r>
      <w:r w:rsidRPr="00840436">
        <w:rPr>
          <w:rFonts w:ascii="Times New Roman" w:hAnsi="Times New Roman" w:cs="Times New Roman"/>
          <w:sz w:val="24"/>
          <w:szCs w:val="24"/>
        </w:rPr>
        <w:t>dafür, dass die Universitätsdozent/inn/en damals</w:t>
      </w:r>
      <w:r w:rsidR="002C10F3">
        <w:rPr>
          <w:rFonts w:ascii="Times New Roman" w:hAnsi="Times New Roman" w:cs="Times New Roman"/>
          <w:sz w:val="24"/>
          <w:szCs w:val="24"/>
        </w:rPr>
        <w:t xml:space="preserve"> </w:t>
      </w:r>
      <w:r w:rsidRPr="00840436">
        <w:rPr>
          <w:rFonts w:ascii="Times New Roman" w:hAnsi="Times New Roman" w:cs="Times New Roman"/>
          <w:sz w:val="24"/>
          <w:szCs w:val="24"/>
        </w:rPr>
        <w:t>– anders als künftig die Assoziierten Professor/inn/en</w:t>
      </w:r>
      <w:r w:rsidR="002C10F3">
        <w:rPr>
          <w:rFonts w:ascii="Times New Roman" w:hAnsi="Times New Roman" w:cs="Times New Roman"/>
          <w:sz w:val="24"/>
          <w:szCs w:val="24"/>
        </w:rPr>
        <w:t xml:space="preserve"> </w:t>
      </w:r>
      <w:r w:rsidRPr="00840436">
        <w:rPr>
          <w:rFonts w:ascii="Times New Roman" w:hAnsi="Times New Roman" w:cs="Times New Roman"/>
          <w:sz w:val="24"/>
          <w:szCs w:val="24"/>
        </w:rPr>
        <w:t>nach Maßgabe des § 99 Abs 6 UG – keine Möglichkeit</w:t>
      </w:r>
      <w:r w:rsidR="002C10F3">
        <w:rPr>
          <w:rFonts w:ascii="Times New Roman" w:hAnsi="Times New Roman" w:cs="Times New Roman"/>
          <w:sz w:val="24"/>
          <w:szCs w:val="24"/>
        </w:rPr>
        <w:t xml:space="preserve"> </w:t>
      </w:r>
      <w:r w:rsidRPr="00840436">
        <w:rPr>
          <w:rFonts w:ascii="Times New Roman" w:hAnsi="Times New Roman" w:cs="Times New Roman"/>
          <w:sz w:val="24"/>
          <w:szCs w:val="24"/>
        </w:rPr>
        <w:t>hatten, durch Qualifikation alleine in die „Professor</w:t>
      </w:r>
      <w:r w:rsidR="00E675CB">
        <w:rPr>
          <w:rFonts w:ascii="Times New Roman" w:hAnsi="Times New Roman" w:cs="Times New Roman"/>
          <w:sz w:val="24"/>
          <w:szCs w:val="24"/>
        </w:rPr>
        <w:t>/inn/e</w:t>
      </w:r>
      <w:r w:rsidRPr="00840436">
        <w:rPr>
          <w:rFonts w:ascii="Times New Roman" w:hAnsi="Times New Roman" w:cs="Times New Roman"/>
          <w:sz w:val="24"/>
          <w:szCs w:val="24"/>
        </w:rPr>
        <w:t>nkurie“</w:t>
      </w:r>
      <w:r w:rsidR="002C10F3">
        <w:rPr>
          <w:rFonts w:ascii="Times New Roman" w:hAnsi="Times New Roman" w:cs="Times New Roman"/>
          <w:sz w:val="24"/>
          <w:szCs w:val="24"/>
        </w:rPr>
        <w:t xml:space="preserve"> </w:t>
      </w:r>
      <w:r w:rsidRPr="00840436">
        <w:rPr>
          <w:rFonts w:ascii="Times New Roman" w:hAnsi="Times New Roman" w:cs="Times New Roman"/>
          <w:sz w:val="24"/>
          <w:szCs w:val="24"/>
        </w:rPr>
        <w:t>ihrer Universität zu gelangen. Dies spricht dafür,</w:t>
      </w:r>
      <w:r w:rsidR="002C10F3">
        <w:rPr>
          <w:rFonts w:ascii="Times New Roman" w:hAnsi="Times New Roman" w:cs="Times New Roman"/>
          <w:sz w:val="24"/>
          <w:szCs w:val="24"/>
        </w:rPr>
        <w:t xml:space="preserve"> </w:t>
      </w:r>
      <w:r w:rsidRPr="00840436">
        <w:rPr>
          <w:rFonts w:ascii="Times New Roman" w:hAnsi="Times New Roman" w:cs="Times New Roman"/>
          <w:sz w:val="24"/>
          <w:szCs w:val="24"/>
        </w:rPr>
        <w:t>dass sie sich auf jene Universität bezieht, der die Universitätsdozent/inn/en angehören. Die Vorschrift, wonach</w:t>
      </w:r>
      <w:r w:rsidR="002C10F3">
        <w:rPr>
          <w:rFonts w:ascii="Times New Roman" w:hAnsi="Times New Roman" w:cs="Times New Roman"/>
          <w:sz w:val="24"/>
          <w:szCs w:val="24"/>
        </w:rPr>
        <w:t xml:space="preserve"> </w:t>
      </w:r>
      <w:r w:rsidRPr="00840436">
        <w:rPr>
          <w:rFonts w:ascii="Times New Roman" w:hAnsi="Times New Roman" w:cs="Times New Roman"/>
          <w:sz w:val="24"/>
          <w:szCs w:val="24"/>
        </w:rPr>
        <w:t>diese Stellen – bloß – im Mitteilungsblatt der Universität</w:t>
      </w:r>
      <w:r w:rsidR="002C10F3">
        <w:rPr>
          <w:rFonts w:ascii="Times New Roman" w:hAnsi="Times New Roman" w:cs="Times New Roman"/>
          <w:sz w:val="24"/>
          <w:szCs w:val="24"/>
        </w:rPr>
        <w:t xml:space="preserve"> </w:t>
      </w:r>
      <w:r w:rsidRPr="00840436">
        <w:rPr>
          <w:rFonts w:ascii="Times New Roman" w:hAnsi="Times New Roman" w:cs="Times New Roman"/>
          <w:sz w:val="24"/>
          <w:szCs w:val="24"/>
        </w:rPr>
        <w:t>auszuschreiben sind und § 98 Abs 2 UG nicht anwendbar</w:t>
      </w:r>
      <w:r w:rsidR="002C10F3">
        <w:rPr>
          <w:rFonts w:ascii="Times New Roman" w:hAnsi="Times New Roman" w:cs="Times New Roman"/>
          <w:sz w:val="24"/>
          <w:szCs w:val="24"/>
        </w:rPr>
        <w:t xml:space="preserve"> </w:t>
      </w:r>
      <w:r w:rsidRPr="00840436">
        <w:rPr>
          <w:rFonts w:ascii="Times New Roman" w:hAnsi="Times New Roman" w:cs="Times New Roman"/>
          <w:sz w:val="24"/>
          <w:szCs w:val="24"/>
        </w:rPr>
        <w:t xml:space="preserve">ist, </w:t>
      </w:r>
      <w:r w:rsidR="00982825">
        <w:rPr>
          <w:rFonts w:ascii="Times New Roman" w:hAnsi="Times New Roman" w:cs="Times New Roman"/>
          <w:sz w:val="24"/>
          <w:szCs w:val="24"/>
        </w:rPr>
        <w:t>stützt</w:t>
      </w:r>
      <w:r w:rsidRPr="00840436">
        <w:rPr>
          <w:rFonts w:ascii="Times New Roman" w:hAnsi="Times New Roman" w:cs="Times New Roman"/>
          <w:sz w:val="24"/>
          <w:szCs w:val="24"/>
        </w:rPr>
        <w:t xml:space="preserve"> ebenfalls dieses Ergebnis</w:t>
      </w:r>
      <w:r w:rsidR="00982825">
        <w:rPr>
          <w:rStyle w:val="Funotenzeichen"/>
          <w:rFonts w:ascii="Times New Roman" w:hAnsi="Times New Roman" w:cs="Times New Roman"/>
          <w:sz w:val="24"/>
          <w:szCs w:val="24"/>
        </w:rPr>
        <w:footnoteReference w:id="21"/>
      </w:r>
      <w:r w:rsidRPr="00840436">
        <w:rPr>
          <w:rFonts w:ascii="Times New Roman" w:hAnsi="Times New Roman" w:cs="Times New Roman"/>
          <w:sz w:val="24"/>
          <w:szCs w:val="24"/>
        </w:rPr>
        <w:t xml:space="preserve">. </w:t>
      </w:r>
      <w:r w:rsidR="00543DAA">
        <w:rPr>
          <w:rFonts w:ascii="Times New Roman" w:hAnsi="Times New Roman" w:cs="Times New Roman"/>
          <w:sz w:val="24"/>
          <w:szCs w:val="24"/>
        </w:rPr>
        <w:t>Für die auch von § 99 Abs 4 UG umfassten Assoziierten Professor/inn/en gelten diese Überlegungen sinngemäß: Für jene Assoziierten Professor/inn/en, die noch kein Auswahlverfahren nach § 99 Abs 5 UG durchlaufen konnten, schafft § 99 Abs 4 UG ebenfalls einen Ausgleich dafür, dass sie sonst keine Möglichkeit haben, bloß aufgrund ihrer Qualifikation den Status eine</w:t>
      </w:r>
      <w:r w:rsidR="001A5E48">
        <w:rPr>
          <w:rFonts w:ascii="Times New Roman" w:hAnsi="Times New Roman" w:cs="Times New Roman"/>
          <w:sz w:val="24"/>
          <w:szCs w:val="24"/>
        </w:rPr>
        <w:t>r</w:t>
      </w:r>
      <w:r w:rsidR="00543DAA">
        <w:rPr>
          <w:rFonts w:ascii="Times New Roman" w:hAnsi="Times New Roman" w:cs="Times New Roman"/>
          <w:sz w:val="24"/>
          <w:szCs w:val="24"/>
        </w:rPr>
        <w:t xml:space="preserve"> Universitätsprofessor</w:t>
      </w:r>
      <w:r w:rsidR="001A5E48">
        <w:rPr>
          <w:rFonts w:ascii="Times New Roman" w:hAnsi="Times New Roman" w:cs="Times New Roman"/>
          <w:sz w:val="24"/>
          <w:szCs w:val="24"/>
        </w:rPr>
        <w:t>in</w:t>
      </w:r>
      <w:r w:rsidR="00543DAA">
        <w:rPr>
          <w:rFonts w:ascii="Times New Roman" w:hAnsi="Times New Roman" w:cs="Times New Roman"/>
          <w:sz w:val="24"/>
          <w:szCs w:val="24"/>
        </w:rPr>
        <w:t xml:space="preserve"> oder eine</w:t>
      </w:r>
      <w:r w:rsidR="001A5E48">
        <w:rPr>
          <w:rFonts w:ascii="Times New Roman" w:hAnsi="Times New Roman" w:cs="Times New Roman"/>
          <w:sz w:val="24"/>
          <w:szCs w:val="24"/>
        </w:rPr>
        <w:t>s</w:t>
      </w:r>
      <w:r w:rsidR="00543DAA">
        <w:rPr>
          <w:rFonts w:ascii="Times New Roman" w:hAnsi="Times New Roman" w:cs="Times New Roman"/>
          <w:sz w:val="24"/>
          <w:szCs w:val="24"/>
        </w:rPr>
        <w:t xml:space="preserve"> </w:t>
      </w:r>
      <w:r w:rsidR="001A5E48">
        <w:rPr>
          <w:rFonts w:ascii="Times New Roman" w:hAnsi="Times New Roman" w:cs="Times New Roman"/>
          <w:sz w:val="24"/>
          <w:szCs w:val="24"/>
        </w:rPr>
        <w:t xml:space="preserve">Universitätsprofessors </w:t>
      </w:r>
      <w:r w:rsidR="00543DAA">
        <w:rPr>
          <w:rFonts w:ascii="Times New Roman" w:hAnsi="Times New Roman" w:cs="Times New Roman"/>
          <w:sz w:val="24"/>
          <w:szCs w:val="24"/>
        </w:rPr>
        <w:t>zu erlangen</w:t>
      </w:r>
      <w:r w:rsidR="00982825">
        <w:rPr>
          <w:rStyle w:val="Funotenzeichen"/>
          <w:rFonts w:ascii="Times New Roman" w:hAnsi="Times New Roman" w:cs="Times New Roman"/>
          <w:sz w:val="24"/>
          <w:szCs w:val="24"/>
        </w:rPr>
        <w:footnoteReference w:id="22"/>
      </w:r>
      <w:r w:rsidR="00543DAA">
        <w:rPr>
          <w:rFonts w:ascii="Times New Roman" w:hAnsi="Times New Roman" w:cs="Times New Roman"/>
          <w:sz w:val="24"/>
          <w:szCs w:val="24"/>
        </w:rPr>
        <w:t xml:space="preserve">. Für Assoziierte Professor/inn/en, die in den Anwendungsbereich des § 99 Abs 5 und 6 UG fallen und somit organisationsrechtlich den Universitätsprofessor/inn/en gleichgestellt </w:t>
      </w:r>
      <w:r w:rsidR="0092750F">
        <w:rPr>
          <w:rFonts w:ascii="Times New Roman" w:hAnsi="Times New Roman" w:cs="Times New Roman"/>
          <w:sz w:val="24"/>
          <w:szCs w:val="24"/>
        </w:rPr>
        <w:t>sind</w:t>
      </w:r>
      <w:r w:rsidR="00543DAA">
        <w:rPr>
          <w:rFonts w:ascii="Times New Roman" w:hAnsi="Times New Roman" w:cs="Times New Roman"/>
          <w:sz w:val="24"/>
          <w:szCs w:val="24"/>
        </w:rPr>
        <w:t xml:space="preserve">, gibt § 99 Abs 4 UG die Möglichkeit, </w:t>
      </w:r>
      <w:r w:rsidR="00F8461C">
        <w:rPr>
          <w:rFonts w:ascii="Times New Roman" w:hAnsi="Times New Roman" w:cs="Times New Roman"/>
          <w:sz w:val="24"/>
          <w:szCs w:val="24"/>
        </w:rPr>
        <w:t xml:space="preserve">die </w:t>
      </w:r>
      <w:r w:rsidR="00543DAA">
        <w:rPr>
          <w:rFonts w:ascii="Times New Roman" w:hAnsi="Times New Roman" w:cs="Times New Roman"/>
          <w:sz w:val="24"/>
          <w:szCs w:val="24"/>
        </w:rPr>
        <w:t xml:space="preserve">besten aus diesem Kreis zu Universitätsprofessor/inn/en im arbeitsrechtlichen Sinn zu </w:t>
      </w:r>
      <w:r w:rsidR="00027659">
        <w:rPr>
          <w:rFonts w:ascii="Times New Roman" w:hAnsi="Times New Roman" w:cs="Times New Roman"/>
          <w:sz w:val="24"/>
          <w:szCs w:val="24"/>
        </w:rPr>
        <w:t>berufen</w:t>
      </w:r>
      <w:r w:rsidR="00543DAA">
        <w:rPr>
          <w:rFonts w:ascii="Times New Roman" w:hAnsi="Times New Roman" w:cs="Times New Roman"/>
          <w:sz w:val="24"/>
          <w:szCs w:val="24"/>
        </w:rPr>
        <w:t>. Auch dies spricht dafür, nur jene Assoziierte</w:t>
      </w:r>
      <w:r w:rsidR="007E7DB4">
        <w:rPr>
          <w:rFonts w:ascii="Times New Roman" w:hAnsi="Times New Roman" w:cs="Times New Roman"/>
          <w:sz w:val="24"/>
          <w:szCs w:val="24"/>
        </w:rPr>
        <w:t>n</w:t>
      </w:r>
      <w:r w:rsidR="00543DAA">
        <w:rPr>
          <w:rFonts w:ascii="Times New Roman" w:hAnsi="Times New Roman" w:cs="Times New Roman"/>
          <w:sz w:val="24"/>
          <w:szCs w:val="24"/>
        </w:rPr>
        <w:t xml:space="preserve"> Professor/inn/en, die über ein Arbeitsverhältnis </w:t>
      </w:r>
      <w:r w:rsidR="0087577D">
        <w:rPr>
          <w:rFonts w:ascii="Times New Roman" w:hAnsi="Times New Roman" w:cs="Times New Roman"/>
          <w:sz w:val="24"/>
          <w:szCs w:val="24"/>
        </w:rPr>
        <w:t>zur</w:t>
      </w:r>
      <w:r w:rsidR="00543DAA">
        <w:rPr>
          <w:rFonts w:ascii="Times New Roman" w:hAnsi="Times New Roman" w:cs="Times New Roman"/>
          <w:sz w:val="24"/>
          <w:szCs w:val="24"/>
        </w:rPr>
        <w:t xml:space="preserve"> jeweiligen Universität verfügen, dafür in Betracht zu ziehen.</w:t>
      </w:r>
      <w:r w:rsidR="00982825">
        <w:rPr>
          <w:rFonts w:ascii="Times New Roman" w:hAnsi="Times New Roman" w:cs="Times New Roman"/>
          <w:sz w:val="24"/>
          <w:szCs w:val="24"/>
        </w:rPr>
        <w:t xml:space="preserve"> </w:t>
      </w:r>
      <w:r w:rsidR="00F8461C">
        <w:rPr>
          <w:rFonts w:ascii="Times New Roman" w:hAnsi="Times New Roman" w:cs="Times New Roman"/>
          <w:sz w:val="24"/>
          <w:szCs w:val="24"/>
        </w:rPr>
        <w:t>Im Schrifttum hat sich die Auffassung, wonach § 99 Abs 4 UG den qualifiziertesten schon an einer Universität beschäftigten Wissenschaftler/inne</w:t>
      </w:r>
      <w:r w:rsidR="00E675CB">
        <w:rPr>
          <w:rFonts w:ascii="Times New Roman" w:hAnsi="Times New Roman" w:cs="Times New Roman"/>
          <w:sz w:val="24"/>
          <w:szCs w:val="24"/>
        </w:rPr>
        <w:t>/</w:t>
      </w:r>
      <w:r w:rsidR="00F8461C">
        <w:rPr>
          <w:rFonts w:ascii="Times New Roman" w:hAnsi="Times New Roman" w:cs="Times New Roman"/>
          <w:sz w:val="24"/>
          <w:szCs w:val="24"/>
        </w:rPr>
        <w:t xml:space="preserve">n die Berufung auf eine Professur im internen </w:t>
      </w:r>
      <w:r w:rsidR="00DF0D08">
        <w:rPr>
          <w:rFonts w:ascii="Times New Roman" w:hAnsi="Times New Roman" w:cs="Times New Roman"/>
          <w:sz w:val="24"/>
          <w:szCs w:val="24"/>
        </w:rPr>
        <w:t>W</w:t>
      </w:r>
      <w:r w:rsidR="00F8461C">
        <w:rPr>
          <w:rFonts w:ascii="Times New Roman" w:hAnsi="Times New Roman" w:cs="Times New Roman"/>
          <w:sz w:val="24"/>
          <w:szCs w:val="24"/>
        </w:rPr>
        <w:t>ettbewerb ermöglichen soll</w:t>
      </w:r>
      <w:r w:rsidR="0092750F">
        <w:rPr>
          <w:rFonts w:ascii="Times New Roman" w:hAnsi="Times New Roman" w:cs="Times New Roman"/>
          <w:sz w:val="24"/>
          <w:szCs w:val="24"/>
        </w:rPr>
        <w:t>, bereits durchgesetzt</w:t>
      </w:r>
      <w:r w:rsidR="00F8461C">
        <w:rPr>
          <w:rStyle w:val="Funotenzeichen"/>
          <w:rFonts w:ascii="Times New Roman" w:hAnsi="Times New Roman" w:cs="Times New Roman"/>
          <w:sz w:val="24"/>
          <w:szCs w:val="24"/>
        </w:rPr>
        <w:footnoteReference w:id="23"/>
      </w:r>
      <w:r w:rsidR="00F8461C">
        <w:rPr>
          <w:rFonts w:ascii="Times New Roman" w:hAnsi="Times New Roman" w:cs="Times New Roman"/>
          <w:sz w:val="24"/>
          <w:szCs w:val="24"/>
        </w:rPr>
        <w:t>.</w:t>
      </w:r>
    </w:p>
    <w:p w14:paraId="2554BA5A" w14:textId="4E0F1AFC" w:rsidR="004B2B24" w:rsidRDefault="004F4250" w:rsidP="00ED3CF0">
      <w:pPr>
        <w:spacing w:line="360" w:lineRule="auto"/>
        <w:jc w:val="both"/>
        <w:rPr>
          <w:rFonts w:ascii="Times New Roman" w:hAnsi="Times New Roman" w:cs="Times New Roman"/>
          <w:sz w:val="24"/>
          <w:szCs w:val="24"/>
        </w:rPr>
      </w:pPr>
      <w:r>
        <w:rPr>
          <w:rFonts w:ascii="Times New Roman" w:hAnsi="Times New Roman" w:cs="Times New Roman"/>
          <w:sz w:val="24"/>
          <w:szCs w:val="24"/>
        </w:rPr>
        <w:t>Kontrovers wird die Frage diskutiert, ob im Entwicklungsplan die Anzahl der nach § 99 Abs 4 UG festzulegenden Stellen auch null sein kann. Dieser von uns vertretenen Auffassung</w:t>
      </w:r>
      <w:r w:rsidR="00731FC1">
        <w:rPr>
          <w:rStyle w:val="Funotenzeichen"/>
          <w:rFonts w:ascii="Times New Roman" w:hAnsi="Times New Roman" w:cs="Times New Roman"/>
          <w:sz w:val="24"/>
          <w:szCs w:val="24"/>
        </w:rPr>
        <w:footnoteReference w:id="24"/>
      </w:r>
      <w:r>
        <w:rPr>
          <w:rFonts w:ascii="Times New Roman" w:hAnsi="Times New Roman" w:cs="Times New Roman"/>
          <w:sz w:val="24"/>
          <w:szCs w:val="24"/>
        </w:rPr>
        <w:t xml:space="preserve">, der sich im Ergebnis auch </w:t>
      </w:r>
      <w:r w:rsidRPr="0044040D">
        <w:rPr>
          <w:rFonts w:ascii="Times New Roman" w:hAnsi="Times New Roman" w:cs="Times New Roman"/>
          <w:i/>
          <w:sz w:val="24"/>
          <w:szCs w:val="24"/>
        </w:rPr>
        <w:t>Gamper</w:t>
      </w:r>
      <w:r>
        <w:rPr>
          <w:rFonts w:ascii="Times New Roman" w:hAnsi="Times New Roman" w:cs="Times New Roman"/>
          <w:sz w:val="24"/>
          <w:szCs w:val="24"/>
        </w:rPr>
        <w:t xml:space="preserve"> und </w:t>
      </w:r>
      <w:r w:rsidRPr="0044040D">
        <w:rPr>
          <w:rFonts w:ascii="Times New Roman" w:hAnsi="Times New Roman" w:cs="Times New Roman"/>
          <w:i/>
          <w:sz w:val="24"/>
          <w:szCs w:val="24"/>
        </w:rPr>
        <w:t>Kucsko-Stadlmayer</w:t>
      </w:r>
      <w:r>
        <w:rPr>
          <w:rFonts w:ascii="Times New Roman" w:hAnsi="Times New Roman" w:cs="Times New Roman"/>
          <w:sz w:val="24"/>
          <w:szCs w:val="24"/>
        </w:rPr>
        <w:t xml:space="preserve"> angeschlossen haben</w:t>
      </w:r>
      <w:r w:rsidR="00731FC1">
        <w:rPr>
          <w:rStyle w:val="Funotenzeichen"/>
          <w:rFonts w:ascii="Times New Roman" w:hAnsi="Times New Roman" w:cs="Times New Roman"/>
          <w:sz w:val="24"/>
          <w:szCs w:val="24"/>
        </w:rPr>
        <w:footnoteReference w:id="25"/>
      </w:r>
      <w:r>
        <w:rPr>
          <w:rFonts w:ascii="Times New Roman" w:hAnsi="Times New Roman" w:cs="Times New Roman"/>
          <w:sz w:val="24"/>
          <w:szCs w:val="24"/>
        </w:rPr>
        <w:t xml:space="preserve">, ist von </w:t>
      </w:r>
      <w:r w:rsidRPr="0044040D">
        <w:rPr>
          <w:rFonts w:ascii="Times New Roman" w:hAnsi="Times New Roman" w:cs="Times New Roman"/>
          <w:i/>
          <w:sz w:val="24"/>
          <w:szCs w:val="24"/>
        </w:rPr>
        <w:t>Perle</w:t>
      </w:r>
      <w:r>
        <w:rPr>
          <w:rFonts w:ascii="Times New Roman" w:hAnsi="Times New Roman" w:cs="Times New Roman"/>
          <w:sz w:val="24"/>
          <w:szCs w:val="24"/>
        </w:rPr>
        <w:t xml:space="preserve"> widersprochen worden</w:t>
      </w:r>
      <w:r w:rsidR="00731FC1">
        <w:rPr>
          <w:rStyle w:val="Funotenzeichen"/>
          <w:rFonts w:ascii="Times New Roman" w:hAnsi="Times New Roman" w:cs="Times New Roman"/>
          <w:sz w:val="24"/>
          <w:szCs w:val="24"/>
        </w:rPr>
        <w:footnoteReference w:id="26"/>
      </w:r>
      <w:r>
        <w:rPr>
          <w:rFonts w:ascii="Times New Roman" w:hAnsi="Times New Roman" w:cs="Times New Roman"/>
          <w:sz w:val="24"/>
          <w:szCs w:val="24"/>
        </w:rPr>
        <w:t>. Doch auch sie räumt ein, dass es „auf Grund des Wortlauts dieser Bestimmung theoretisch möglich“ ist, die Anzahl mit null festzulegen</w:t>
      </w:r>
      <w:r w:rsidR="00731FC1">
        <w:rPr>
          <w:rStyle w:val="Funotenzeichen"/>
          <w:rFonts w:ascii="Times New Roman" w:hAnsi="Times New Roman" w:cs="Times New Roman"/>
          <w:sz w:val="24"/>
          <w:szCs w:val="24"/>
        </w:rPr>
        <w:footnoteReference w:id="27"/>
      </w:r>
      <w:r>
        <w:rPr>
          <w:rFonts w:ascii="Times New Roman" w:hAnsi="Times New Roman" w:cs="Times New Roman"/>
          <w:sz w:val="24"/>
          <w:szCs w:val="24"/>
        </w:rPr>
        <w:t xml:space="preserve">. Das von </w:t>
      </w:r>
      <w:r w:rsidRPr="0044040D">
        <w:rPr>
          <w:rFonts w:ascii="Times New Roman" w:hAnsi="Times New Roman" w:cs="Times New Roman"/>
          <w:i/>
          <w:sz w:val="24"/>
          <w:szCs w:val="24"/>
        </w:rPr>
        <w:t>Gamper</w:t>
      </w:r>
      <w:r>
        <w:rPr>
          <w:rFonts w:ascii="Times New Roman" w:hAnsi="Times New Roman" w:cs="Times New Roman"/>
          <w:sz w:val="24"/>
          <w:szCs w:val="24"/>
        </w:rPr>
        <w:t xml:space="preserve"> ins Treffen geführte und im Rahmen einer systematischen Interpretation zu berücksichtigende Argument, wonach das UG bei keiner Personalkategorie </w:t>
      </w:r>
      <w:r w:rsidR="00731FC1">
        <w:rPr>
          <w:rFonts w:ascii="Times New Roman" w:hAnsi="Times New Roman" w:cs="Times New Roman"/>
          <w:sz w:val="24"/>
          <w:szCs w:val="24"/>
        </w:rPr>
        <w:t>die verpflichtende Festlegung einer Mindestanzahl vorsieht</w:t>
      </w:r>
      <w:r w:rsidR="00731FC1">
        <w:rPr>
          <w:rStyle w:val="Funotenzeichen"/>
          <w:rFonts w:ascii="Times New Roman" w:hAnsi="Times New Roman" w:cs="Times New Roman"/>
          <w:sz w:val="24"/>
          <w:szCs w:val="24"/>
        </w:rPr>
        <w:footnoteReference w:id="28"/>
      </w:r>
      <w:r w:rsidR="00731FC1">
        <w:rPr>
          <w:rFonts w:ascii="Times New Roman" w:hAnsi="Times New Roman" w:cs="Times New Roman"/>
          <w:sz w:val="24"/>
          <w:szCs w:val="24"/>
        </w:rPr>
        <w:t>, erkennt sie ebenfalls an</w:t>
      </w:r>
      <w:r w:rsidR="00731FC1">
        <w:rPr>
          <w:rStyle w:val="Funotenzeichen"/>
          <w:rFonts w:ascii="Times New Roman" w:hAnsi="Times New Roman" w:cs="Times New Roman"/>
          <w:sz w:val="24"/>
          <w:szCs w:val="24"/>
        </w:rPr>
        <w:footnoteReference w:id="29"/>
      </w:r>
      <w:r w:rsidR="00731FC1">
        <w:rPr>
          <w:rFonts w:ascii="Times New Roman" w:hAnsi="Times New Roman" w:cs="Times New Roman"/>
          <w:sz w:val="24"/>
          <w:szCs w:val="24"/>
        </w:rPr>
        <w:t>.</w:t>
      </w:r>
      <w:r>
        <w:rPr>
          <w:rFonts w:ascii="Times New Roman" w:hAnsi="Times New Roman" w:cs="Times New Roman"/>
          <w:sz w:val="24"/>
          <w:szCs w:val="24"/>
        </w:rPr>
        <w:t xml:space="preserve"> </w:t>
      </w:r>
      <w:r w:rsidR="00731FC1" w:rsidRPr="0044040D">
        <w:rPr>
          <w:rFonts w:ascii="Times New Roman" w:hAnsi="Times New Roman" w:cs="Times New Roman"/>
          <w:i/>
          <w:sz w:val="24"/>
          <w:szCs w:val="24"/>
        </w:rPr>
        <w:t>Perle</w:t>
      </w:r>
      <w:r w:rsidR="00731FC1">
        <w:rPr>
          <w:rFonts w:ascii="Times New Roman" w:hAnsi="Times New Roman" w:cs="Times New Roman"/>
          <w:sz w:val="24"/>
          <w:szCs w:val="24"/>
        </w:rPr>
        <w:t xml:space="preserve"> stützt sich primär</w:t>
      </w:r>
      <w:r w:rsidR="00982825">
        <w:rPr>
          <w:rFonts w:ascii="Times New Roman" w:hAnsi="Times New Roman" w:cs="Times New Roman"/>
          <w:sz w:val="24"/>
          <w:szCs w:val="24"/>
        </w:rPr>
        <w:t xml:space="preserve"> </w:t>
      </w:r>
      <w:r w:rsidR="00731FC1">
        <w:rPr>
          <w:rFonts w:ascii="Times New Roman" w:hAnsi="Times New Roman" w:cs="Times New Roman"/>
          <w:sz w:val="24"/>
          <w:szCs w:val="24"/>
        </w:rPr>
        <w:t>darauf, dass der Ministerialentwurf</w:t>
      </w:r>
      <w:r w:rsidR="00543DAA">
        <w:rPr>
          <w:rFonts w:ascii="Times New Roman" w:hAnsi="Times New Roman" w:cs="Times New Roman"/>
          <w:sz w:val="24"/>
          <w:szCs w:val="24"/>
        </w:rPr>
        <w:t xml:space="preserve"> </w:t>
      </w:r>
      <w:r w:rsidR="00731FC1">
        <w:rPr>
          <w:rFonts w:ascii="Times New Roman" w:hAnsi="Times New Roman" w:cs="Times New Roman"/>
          <w:sz w:val="24"/>
          <w:szCs w:val="24"/>
        </w:rPr>
        <w:t xml:space="preserve">noch davon gesprochen hat, dass im Entwicklungsplan „eine Anzahl von Stellen […] festgelegt werden kann“, während die endgültige Fassung des § 99 Abs 4 UG die Formulierung verwendet, wonach im Entwicklungsplan „eine Anzahl von Stellen […] festzulegen“ ist. Dieses Argument ist aber aus mehreren Gründen zu relativieren: Zum einen war dies nicht die einzige Änderung, die im Gesetzgebungsverfahren erfolgt ist. </w:t>
      </w:r>
      <w:r w:rsidR="009F7959">
        <w:rPr>
          <w:rFonts w:ascii="Times New Roman" w:hAnsi="Times New Roman" w:cs="Times New Roman"/>
          <w:sz w:val="24"/>
          <w:szCs w:val="24"/>
        </w:rPr>
        <w:t xml:space="preserve">In § 99 Abs 4 UG wurden Regelungen zusammengefasst, die nach dem Ministerialentwurf noch in zwei verschiedenen Vorschriften mit unterschiedlichem Inhalt vorgesehen waren. </w:t>
      </w:r>
      <w:r w:rsidR="0044040D">
        <w:rPr>
          <w:rFonts w:ascii="Times New Roman" w:hAnsi="Times New Roman" w:cs="Times New Roman"/>
          <w:sz w:val="24"/>
          <w:szCs w:val="24"/>
        </w:rPr>
        <w:t xml:space="preserve">Dass dabei die Vorschrift auch sprachlich neu gefasst </w:t>
      </w:r>
      <w:r w:rsidR="006C45D2">
        <w:rPr>
          <w:rFonts w:ascii="Times New Roman" w:hAnsi="Times New Roman" w:cs="Times New Roman"/>
          <w:sz w:val="24"/>
          <w:szCs w:val="24"/>
        </w:rPr>
        <w:t>wurde</w:t>
      </w:r>
      <w:r w:rsidR="0044040D">
        <w:rPr>
          <w:rFonts w:ascii="Times New Roman" w:hAnsi="Times New Roman" w:cs="Times New Roman"/>
          <w:sz w:val="24"/>
          <w:szCs w:val="24"/>
        </w:rPr>
        <w:t xml:space="preserve">, darf nicht überbewertet werden. </w:t>
      </w:r>
      <w:r w:rsidR="009F7959">
        <w:rPr>
          <w:rFonts w:ascii="Times New Roman" w:hAnsi="Times New Roman" w:cs="Times New Roman"/>
          <w:sz w:val="24"/>
          <w:szCs w:val="24"/>
        </w:rPr>
        <w:t xml:space="preserve">Zum zweiten bringt die endgültige Fassung auch sprachlich deutlicher zum Ausdruck, dass die Verankerung der Anzahl der Stellen im Entwicklungsplan nicht </w:t>
      </w:r>
      <w:r w:rsidR="0044040D">
        <w:rPr>
          <w:rFonts w:ascii="Times New Roman" w:hAnsi="Times New Roman" w:cs="Times New Roman"/>
          <w:sz w:val="24"/>
          <w:szCs w:val="24"/>
        </w:rPr>
        <w:t xml:space="preserve">nur </w:t>
      </w:r>
      <w:r w:rsidR="009F7959">
        <w:rPr>
          <w:rFonts w:ascii="Times New Roman" w:hAnsi="Times New Roman" w:cs="Times New Roman"/>
          <w:sz w:val="24"/>
          <w:szCs w:val="24"/>
        </w:rPr>
        <w:t xml:space="preserve">eine bloße Möglichkeit ist, sondern Voraussetzung für die Ausschreibung der Stellen. Dies könnte ebenfalls Grund für die Änderung sein. </w:t>
      </w:r>
      <w:r w:rsidR="0044040D">
        <w:rPr>
          <w:rFonts w:ascii="Times New Roman" w:hAnsi="Times New Roman" w:cs="Times New Roman"/>
          <w:sz w:val="24"/>
          <w:szCs w:val="24"/>
        </w:rPr>
        <w:t>Zum dritten</w:t>
      </w:r>
      <w:r w:rsidR="009F7959">
        <w:rPr>
          <w:rFonts w:ascii="Times New Roman" w:hAnsi="Times New Roman" w:cs="Times New Roman"/>
          <w:sz w:val="24"/>
          <w:szCs w:val="24"/>
        </w:rPr>
        <w:t xml:space="preserve"> hat der VwGH </w:t>
      </w:r>
      <w:r w:rsidR="00ED3CF0">
        <w:rPr>
          <w:rFonts w:ascii="Times New Roman" w:hAnsi="Times New Roman" w:cs="Times New Roman"/>
          <w:sz w:val="24"/>
          <w:szCs w:val="24"/>
        </w:rPr>
        <w:t xml:space="preserve">in seinem </w:t>
      </w:r>
      <w:r w:rsidR="00B83283">
        <w:rPr>
          <w:rFonts w:ascii="Times New Roman" w:hAnsi="Times New Roman" w:cs="Times New Roman"/>
          <w:sz w:val="24"/>
          <w:szCs w:val="24"/>
        </w:rPr>
        <w:t>– im Schrifttum allerdings aus nachvollziehbaren Gründen überwiegend kritisch aufgenommenen</w:t>
      </w:r>
      <w:r w:rsidR="00B83283">
        <w:rPr>
          <w:rStyle w:val="Funotenzeichen"/>
          <w:rFonts w:ascii="Times New Roman" w:hAnsi="Times New Roman" w:cs="Times New Roman"/>
          <w:sz w:val="24"/>
          <w:szCs w:val="24"/>
        </w:rPr>
        <w:footnoteReference w:id="30"/>
      </w:r>
      <w:r w:rsidR="00B83283">
        <w:rPr>
          <w:rFonts w:ascii="Times New Roman" w:hAnsi="Times New Roman" w:cs="Times New Roman"/>
          <w:sz w:val="24"/>
          <w:szCs w:val="24"/>
        </w:rPr>
        <w:t xml:space="preserve"> – </w:t>
      </w:r>
      <w:r w:rsidR="00ED3CF0">
        <w:rPr>
          <w:rFonts w:ascii="Times New Roman" w:hAnsi="Times New Roman" w:cs="Times New Roman"/>
          <w:sz w:val="24"/>
          <w:szCs w:val="24"/>
        </w:rPr>
        <w:t>Erk</w:t>
      </w:r>
      <w:r w:rsidR="00B83283">
        <w:rPr>
          <w:rFonts w:ascii="Times New Roman" w:hAnsi="Times New Roman" w:cs="Times New Roman"/>
          <w:sz w:val="24"/>
          <w:szCs w:val="24"/>
        </w:rPr>
        <w:t xml:space="preserve"> </w:t>
      </w:r>
      <w:r w:rsidR="00ED3CF0">
        <w:rPr>
          <w:rFonts w:ascii="Times New Roman" w:hAnsi="Times New Roman" w:cs="Times New Roman"/>
          <w:sz w:val="24"/>
          <w:szCs w:val="24"/>
        </w:rPr>
        <w:t>vom 27. 2.</w:t>
      </w:r>
      <w:r w:rsidR="009F7959">
        <w:rPr>
          <w:rFonts w:ascii="Times New Roman" w:hAnsi="Times New Roman" w:cs="Times New Roman"/>
          <w:sz w:val="24"/>
          <w:szCs w:val="24"/>
        </w:rPr>
        <w:t xml:space="preserve"> 2014 </w:t>
      </w:r>
      <w:r w:rsidR="00ED3CF0">
        <w:rPr>
          <w:rFonts w:ascii="Times New Roman" w:hAnsi="Times New Roman" w:cs="Times New Roman"/>
          <w:sz w:val="24"/>
          <w:szCs w:val="24"/>
        </w:rPr>
        <w:t xml:space="preserve">aus grundlegenden in die Verfassungssphäre reichenden Überlegungen entschieden, Unterschieden zwischen dem Ministerialentwurf und der endgültigen Gesetzesfassung bei der Interpretation einer Rechtsvorschrift </w:t>
      </w:r>
      <w:r w:rsidR="0044040D">
        <w:rPr>
          <w:rFonts w:ascii="Times New Roman" w:hAnsi="Times New Roman" w:cs="Times New Roman"/>
          <w:sz w:val="24"/>
          <w:szCs w:val="24"/>
        </w:rPr>
        <w:t xml:space="preserve">generell </w:t>
      </w:r>
      <w:r w:rsidR="00ED3CF0">
        <w:rPr>
          <w:rFonts w:ascii="Times New Roman" w:hAnsi="Times New Roman" w:cs="Times New Roman"/>
          <w:sz w:val="24"/>
          <w:szCs w:val="24"/>
        </w:rPr>
        <w:t>keine Bedeutung beizumessen</w:t>
      </w:r>
      <w:r w:rsidR="00ED3CF0">
        <w:rPr>
          <w:rStyle w:val="Funotenzeichen"/>
          <w:rFonts w:ascii="Times New Roman" w:hAnsi="Times New Roman" w:cs="Times New Roman"/>
          <w:sz w:val="24"/>
          <w:szCs w:val="24"/>
        </w:rPr>
        <w:footnoteReference w:id="31"/>
      </w:r>
      <w:r w:rsidR="00ED3CF0">
        <w:rPr>
          <w:rFonts w:ascii="Times New Roman" w:hAnsi="Times New Roman" w:cs="Times New Roman"/>
          <w:sz w:val="24"/>
          <w:szCs w:val="24"/>
        </w:rPr>
        <w:t>: „</w:t>
      </w:r>
      <w:r w:rsidR="00ED3CF0" w:rsidRPr="00ED3CF0">
        <w:rPr>
          <w:rFonts w:ascii="Times New Roman" w:hAnsi="Times New Roman" w:cs="Times New Roman"/>
          <w:sz w:val="24"/>
          <w:szCs w:val="24"/>
        </w:rPr>
        <w:t>Nach Art 24 B-VG wird die Gesetzgebung des Bundes vom Nationalrat gemeinsam mit dem Bundesrat ausgeübt. Im Schoß der Exekutive gepflogene Überlegungen können nicht der Legislative zugerechnet werden.</w:t>
      </w:r>
      <w:r w:rsidR="00ED3CF0">
        <w:rPr>
          <w:rFonts w:ascii="Times New Roman" w:hAnsi="Times New Roman" w:cs="Times New Roman"/>
          <w:sz w:val="24"/>
          <w:szCs w:val="24"/>
        </w:rPr>
        <w:t xml:space="preserve"> </w:t>
      </w:r>
      <w:r w:rsidR="00ED3CF0" w:rsidRPr="00ED3CF0">
        <w:rPr>
          <w:rFonts w:ascii="Times New Roman" w:hAnsi="Times New Roman" w:cs="Times New Roman"/>
          <w:sz w:val="24"/>
          <w:szCs w:val="24"/>
        </w:rPr>
        <w:t xml:space="preserve">Für die Erläuterungen in einer Regierungsvorlage gilt freilich Besonderes: Gemäß Art. 41 Abs. 1 B-VG gelangen Gesetzesvorschläge an den Nationalrat als Anträge seiner Mitglieder, des Bundesrates oder eines Drittels der Mitglieder des Bundesrates sowie als Vorlagen der Bundesregierung. Soweit die Erläuterungen einer Regierungsvorlage, die zu einem Gesetzesbeschluss des Gesetzgebers geführt hat, Darlegungen zur inhaltlichen Bedeutung der von der Regierung vorgeschlagenen verba legalia enthalten, können diese Darlegungen insofern der Interpretation des Gesetzestextes dienen, als sich (regelmäßig) aus </w:t>
      </w:r>
      <w:r w:rsidR="00E675CB" w:rsidRPr="00ED3CF0">
        <w:rPr>
          <w:rFonts w:ascii="Times New Roman" w:hAnsi="Times New Roman" w:cs="Times New Roman"/>
          <w:sz w:val="24"/>
          <w:szCs w:val="24"/>
        </w:rPr>
        <w:t>de</w:t>
      </w:r>
      <w:r w:rsidR="00E675CB">
        <w:rPr>
          <w:rFonts w:ascii="Times New Roman" w:hAnsi="Times New Roman" w:cs="Times New Roman"/>
          <w:sz w:val="24"/>
          <w:szCs w:val="24"/>
        </w:rPr>
        <w:t>n</w:t>
      </w:r>
      <w:r w:rsidR="00E675CB" w:rsidRPr="00ED3CF0">
        <w:rPr>
          <w:rFonts w:ascii="Times New Roman" w:hAnsi="Times New Roman" w:cs="Times New Roman"/>
          <w:sz w:val="24"/>
          <w:szCs w:val="24"/>
        </w:rPr>
        <w:t xml:space="preserve"> </w:t>
      </w:r>
      <w:r w:rsidR="00ED3CF0" w:rsidRPr="00ED3CF0">
        <w:rPr>
          <w:rFonts w:ascii="Times New Roman" w:hAnsi="Times New Roman" w:cs="Times New Roman"/>
          <w:sz w:val="24"/>
          <w:szCs w:val="24"/>
        </w:rPr>
        <w:t>Umständen ergibt, dass der Gesetzgeber von diesem Verständnis des von ihm beschlossenen Gesetzestextes ausgegangen ist. Demgegenüber sind vor bzw. außerhalb der Regierungsvorlage iSd Art. 41 Abs. 1 B-VG angestellte Überlegungen der Exekutive in der Regel nicht geeignet, den Inhalt des von Nationalrat und Bundesrat herbeigeführten Gesetzesbeschlusses auszuloten. In Bezug auf den Ministerialentwurf eines Gesetzes kommt dem Parlament verfassungsrechtlich nicht mehr als Beobachterstatus zu.</w:t>
      </w:r>
      <w:r w:rsidR="00ED3CF0">
        <w:rPr>
          <w:rFonts w:ascii="Times New Roman" w:hAnsi="Times New Roman" w:cs="Times New Roman"/>
          <w:sz w:val="24"/>
          <w:szCs w:val="24"/>
        </w:rPr>
        <w:t>“</w:t>
      </w:r>
      <w:r w:rsidR="009F7959">
        <w:rPr>
          <w:rFonts w:ascii="Times New Roman" w:hAnsi="Times New Roman" w:cs="Times New Roman"/>
          <w:sz w:val="24"/>
          <w:szCs w:val="24"/>
        </w:rPr>
        <w:t xml:space="preserve"> </w:t>
      </w:r>
    </w:p>
    <w:p w14:paraId="2554BA5B" w14:textId="59B23CD1" w:rsidR="004D2E04" w:rsidRDefault="00C80AB4" w:rsidP="00ED3C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Für die Auffassung, dass die Anzahl der Stellen auch null betragen kann, spricht auch noch folgende Überlegung: Folgt man der von </w:t>
      </w:r>
      <w:r w:rsidRPr="003B1484">
        <w:rPr>
          <w:rFonts w:ascii="Times New Roman" w:hAnsi="Times New Roman" w:cs="Times New Roman"/>
          <w:i/>
          <w:sz w:val="24"/>
          <w:szCs w:val="24"/>
        </w:rPr>
        <w:t>Perle</w:t>
      </w:r>
      <w:r>
        <w:rPr>
          <w:rFonts w:ascii="Times New Roman" w:hAnsi="Times New Roman" w:cs="Times New Roman"/>
          <w:sz w:val="24"/>
          <w:szCs w:val="24"/>
        </w:rPr>
        <w:t xml:space="preserve"> vertretenen </w:t>
      </w:r>
      <w:r w:rsidR="00130433">
        <w:rPr>
          <w:rFonts w:ascii="Times New Roman" w:hAnsi="Times New Roman" w:cs="Times New Roman"/>
          <w:sz w:val="24"/>
          <w:szCs w:val="24"/>
        </w:rPr>
        <w:t>Interpretation</w:t>
      </w:r>
      <w:r>
        <w:rPr>
          <w:rFonts w:ascii="Times New Roman" w:hAnsi="Times New Roman" w:cs="Times New Roman"/>
          <w:sz w:val="24"/>
          <w:szCs w:val="24"/>
        </w:rPr>
        <w:t xml:space="preserve">, würde die Festlegung einer </w:t>
      </w:r>
      <w:r w:rsidR="0092750F">
        <w:rPr>
          <w:rFonts w:ascii="Times New Roman" w:hAnsi="Times New Roman" w:cs="Times New Roman"/>
          <w:sz w:val="24"/>
          <w:szCs w:val="24"/>
        </w:rPr>
        <w:t xml:space="preserve">einzigen </w:t>
      </w:r>
      <w:r>
        <w:rPr>
          <w:rFonts w:ascii="Times New Roman" w:hAnsi="Times New Roman" w:cs="Times New Roman"/>
          <w:sz w:val="24"/>
          <w:szCs w:val="24"/>
        </w:rPr>
        <w:t xml:space="preserve">Stelle </w:t>
      </w:r>
      <w:r w:rsidR="003B1484">
        <w:rPr>
          <w:rFonts w:ascii="Times New Roman" w:hAnsi="Times New Roman" w:cs="Times New Roman"/>
          <w:sz w:val="24"/>
          <w:szCs w:val="24"/>
        </w:rPr>
        <w:t xml:space="preserve">bereits </w:t>
      </w:r>
      <w:r>
        <w:rPr>
          <w:rFonts w:ascii="Times New Roman" w:hAnsi="Times New Roman" w:cs="Times New Roman"/>
          <w:sz w:val="24"/>
          <w:szCs w:val="24"/>
        </w:rPr>
        <w:t>dem Gesetz entsprechen. Hätte der Gesetzgeber dies intendiert, wäre es naheliegender gewesen</w:t>
      </w:r>
      <w:r w:rsidR="006C45D2">
        <w:rPr>
          <w:rFonts w:ascii="Times New Roman" w:hAnsi="Times New Roman" w:cs="Times New Roman"/>
          <w:sz w:val="24"/>
          <w:szCs w:val="24"/>
        </w:rPr>
        <w:t>, ausdrücklich</w:t>
      </w:r>
      <w:r>
        <w:rPr>
          <w:rFonts w:ascii="Times New Roman" w:hAnsi="Times New Roman" w:cs="Times New Roman"/>
          <w:sz w:val="24"/>
          <w:szCs w:val="24"/>
        </w:rPr>
        <w:t xml:space="preserve"> vorzuschreiben, dass mindestens eine Stelle vorgesehen werden muss. </w:t>
      </w:r>
      <w:r w:rsidR="003B1484">
        <w:rPr>
          <w:rFonts w:ascii="Times New Roman" w:hAnsi="Times New Roman" w:cs="Times New Roman"/>
          <w:sz w:val="24"/>
          <w:szCs w:val="24"/>
        </w:rPr>
        <w:t>Wenn zudem die Anzahl mindestens eins betragen muss, würde sich die Frage stellen, ob diese</w:t>
      </w:r>
      <w:r w:rsidR="001270C2">
        <w:rPr>
          <w:rFonts w:ascii="Times New Roman" w:hAnsi="Times New Roman" w:cs="Times New Roman"/>
          <w:sz w:val="24"/>
          <w:szCs w:val="24"/>
        </w:rPr>
        <w:t xml:space="preserve"> Festlegung zeitraumbezogen zu erfolgen hat. </w:t>
      </w:r>
      <w:r w:rsidR="006336E1">
        <w:rPr>
          <w:rFonts w:ascii="Times New Roman" w:hAnsi="Times New Roman" w:cs="Times New Roman"/>
          <w:sz w:val="24"/>
          <w:szCs w:val="24"/>
        </w:rPr>
        <w:t>Als m</w:t>
      </w:r>
      <w:r w:rsidR="001270C2">
        <w:rPr>
          <w:rFonts w:ascii="Times New Roman" w:hAnsi="Times New Roman" w:cs="Times New Roman"/>
          <w:sz w:val="24"/>
          <w:szCs w:val="24"/>
        </w:rPr>
        <w:t>aßgebender Zeitraum</w:t>
      </w:r>
      <w:r w:rsidR="006336E1">
        <w:rPr>
          <w:rFonts w:ascii="Times New Roman" w:hAnsi="Times New Roman" w:cs="Times New Roman"/>
          <w:sz w:val="24"/>
          <w:szCs w:val="24"/>
        </w:rPr>
        <w:t xml:space="preserve">, in dem die im Entwicklungsplan erteilte Ermächtigung in Anspruch genommen werden kann, </w:t>
      </w:r>
      <w:r w:rsidR="001270C2">
        <w:rPr>
          <w:rFonts w:ascii="Times New Roman" w:hAnsi="Times New Roman" w:cs="Times New Roman"/>
          <w:sz w:val="24"/>
          <w:szCs w:val="24"/>
        </w:rPr>
        <w:t xml:space="preserve">könnte die Periode jener Leistungsvereinbarung </w:t>
      </w:r>
      <w:r w:rsidR="006336E1">
        <w:rPr>
          <w:rFonts w:ascii="Times New Roman" w:hAnsi="Times New Roman" w:cs="Times New Roman"/>
          <w:sz w:val="24"/>
          <w:szCs w:val="24"/>
        </w:rPr>
        <w:t>angesehen werden</w:t>
      </w:r>
      <w:r w:rsidR="001270C2">
        <w:rPr>
          <w:rFonts w:ascii="Times New Roman" w:hAnsi="Times New Roman" w:cs="Times New Roman"/>
          <w:sz w:val="24"/>
          <w:szCs w:val="24"/>
        </w:rPr>
        <w:t xml:space="preserve">, die auf der </w:t>
      </w:r>
      <w:r w:rsidR="006336E1">
        <w:rPr>
          <w:rFonts w:ascii="Times New Roman" w:hAnsi="Times New Roman" w:cs="Times New Roman"/>
          <w:sz w:val="24"/>
          <w:szCs w:val="24"/>
        </w:rPr>
        <w:t xml:space="preserve">entsprechenden </w:t>
      </w:r>
      <w:r w:rsidR="001270C2">
        <w:rPr>
          <w:rFonts w:ascii="Times New Roman" w:hAnsi="Times New Roman" w:cs="Times New Roman"/>
          <w:sz w:val="24"/>
          <w:szCs w:val="24"/>
        </w:rPr>
        <w:t>Fassung des Entwicklungsplans aufbaut</w:t>
      </w:r>
      <w:r w:rsidR="00DF0D08">
        <w:rPr>
          <w:rStyle w:val="Funotenzeichen"/>
          <w:rFonts w:ascii="Times New Roman" w:hAnsi="Times New Roman" w:cs="Times New Roman"/>
          <w:sz w:val="24"/>
          <w:szCs w:val="24"/>
        </w:rPr>
        <w:footnoteReference w:id="32"/>
      </w:r>
      <w:r w:rsidR="001270C2">
        <w:rPr>
          <w:rFonts w:ascii="Times New Roman" w:hAnsi="Times New Roman" w:cs="Times New Roman"/>
          <w:sz w:val="24"/>
          <w:szCs w:val="24"/>
        </w:rPr>
        <w:t xml:space="preserve">. Geht man aber mit </w:t>
      </w:r>
      <w:r w:rsidR="001270C2" w:rsidRPr="006336E1">
        <w:rPr>
          <w:rFonts w:ascii="Times New Roman" w:hAnsi="Times New Roman" w:cs="Times New Roman"/>
          <w:i/>
          <w:sz w:val="24"/>
          <w:szCs w:val="24"/>
        </w:rPr>
        <w:t>Perle</w:t>
      </w:r>
      <w:r w:rsidR="001270C2">
        <w:rPr>
          <w:rFonts w:ascii="Times New Roman" w:hAnsi="Times New Roman" w:cs="Times New Roman"/>
          <w:sz w:val="24"/>
          <w:szCs w:val="24"/>
        </w:rPr>
        <w:t xml:space="preserve"> davon aus, dass die Anzahl der Stellen für Universitätsdozent/inn/en gemäß § 94 Abs 4 Z 2 UG gesondert festzulegen </w:t>
      </w:r>
      <w:r w:rsidR="00DF0D08">
        <w:rPr>
          <w:rFonts w:ascii="Times New Roman" w:hAnsi="Times New Roman" w:cs="Times New Roman"/>
          <w:sz w:val="24"/>
          <w:szCs w:val="24"/>
        </w:rPr>
        <w:t xml:space="preserve">ist </w:t>
      </w:r>
      <w:r w:rsidR="001270C2">
        <w:rPr>
          <w:rFonts w:ascii="Times New Roman" w:hAnsi="Times New Roman" w:cs="Times New Roman"/>
          <w:sz w:val="24"/>
          <w:szCs w:val="24"/>
        </w:rPr>
        <w:t xml:space="preserve">und dass daher auch für diese Gruppe für jede Leistungsvereinbarungsperiode </w:t>
      </w:r>
      <w:r w:rsidR="00D75190">
        <w:rPr>
          <w:rFonts w:ascii="Times New Roman" w:hAnsi="Times New Roman" w:cs="Times New Roman"/>
          <w:sz w:val="24"/>
          <w:szCs w:val="24"/>
        </w:rPr>
        <w:t xml:space="preserve">mindestens </w:t>
      </w:r>
      <w:r w:rsidR="001270C2">
        <w:rPr>
          <w:rFonts w:ascii="Times New Roman" w:hAnsi="Times New Roman" w:cs="Times New Roman"/>
          <w:sz w:val="24"/>
          <w:szCs w:val="24"/>
        </w:rPr>
        <w:t xml:space="preserve">eine Stelle im Entwicklungsplan vorzusehen ist, hätte der Gesetzgeber eine </w:t>
      </w:r>
      <w:r w:rsidR="00DF0D08">
        <w:rPr>
          <w:rFonts w:ascii="Times New Roman" w:hAnsi="Times New Roman" w:cs="Times New Roman"/>
          <w:sz w:val="24"/>
          <w:szCs w:val="24"/>
        </w:rPr>
        <w:t xml:space="preserve">– </w:t>
      </w:r>
      <w:r w:rsidR="001270C2">
        <w:rPr>
          <w:rFonts w:ascii="Times New Roman" w:hAnsi="Times New Roman" w:cs="Times New Roman"/>
          <w:sz w:val="24"/>
          <w:szCs w:val="24"/>
        </w:rPr>
        <w:t>nicht</w:t>
      </w:r>
      <w:r w:rsidR="00DF0D08">
        <w:rPr>
          <w:rFonts w:ascii="Times New Roman" w:hAnsi="Times New Roman" w:cs="Times New Roman"/>
          <w:sz w:val="24"/>
          <w:szCs w:val="24"/>
        </w:rPr>
        <w:t xml:space="preserve"> </w:t>
      </w:r>
      <w:r w:rsidR="001270C2">
        <w:rPr>
          <w:rFonts w:ascii="Times New Roman" w:hAnsi="Times New Roman" w:cs="Times New Roman"/>
          <w:sz w:val="24"/>
          <w:szCs w:val="24"/>
        </w:rPr>
        <w:t xml:space="preserve">bloß befristet in Kraft gesetzte </w:t>
      </w:r>
      <w:r w:rsidR="00DF0D08">
        <w:rPr>
          <w:rFonts w:ascii="Times New Roman" w:hAnsi="Times New Roman" w:cs="Times New Roman"/>
          <w:sz w:val="24"/>
          <w:szCs w:val="24"/>
        </w:rPr>
        <w:t xml:space="preserve">– </w:t>
      </w:r>
      <w:r w:rsidR="001270C2">
        <w:rPr>
          <w:rFonts w:ascii="Times New Roman" w:hAnsi="Times New Roman" w:cs="Times New Roman"/>
          <w:sz w:val="24"/>
          <w:szCs w:val="24"/>
        </w:rPr>
        <w:t>Anordnung</w:t>
      </w:r>
      <w:r w:rsidR="00DF0D08">
        <w:rPr>
          <w:rFonts w:ascii="Times New Roman" w:hAnsi="Times New Roman" w:cs="Times New Roman"/>
          <w:sz w:val="24"/>
          <w:szCs w:val="24"/>
        </w:rPr>
        <w:t xml:space="preserve"> </w:t>
      </w:r>
      <w:r w:rsidR="001270C2">
        <w:rPr>
          <w:rFonts w:ascii="Times New Roman" w:hAnsi="Times New Roman" w:cs="Times New Roman"/>
          <w:sz w:val="24"/>
          <w:szCs w:val="24"/>
        </w:rPr>
        <w:t xml:space="preserve">getroffen, die sich in </w:t>
      </w:r>
      <w:r w:rsidR="00DF0D08">
        <w:rPr>
          <w:rFonts w:ascii="Times New Roman" w:hAnsi="Times New Roman" w:cs="Times New Roman"/>
          <w:sz w:val="24"/>
          <w:szCs w:val="24"/>
        </w:rPr>
        <w:t xml:space="preserve">künftigen </w:t>
      </w:r>
      <w:r w:rsidR="001270C2">
        <w:rPr>
          <w:rFonts w:ascii="Times New Roman" w:hAnsi="Times New Roman" w:cs="Times New Roman"/>
          <w:sz w:val="24"/>
          <w:szCs w:val="24"/>
        </w:rPr>
        <w:t xml:space="preserve">Leistungsvereinbarungsperioden – wenn nämlich die nicht mehr nachwachsende Gruppe der Universitätsdozent/inn/en aus dem Personalstand ausgeschieden </w:t>
      </w:r>
      <w:r w:rsidR="00206B55">
        <w:rPr>
          <w:rFonts w:ascii="Times New Roman" w:hAnsi="Times New Roman" w:cs="Times New Roman"/>
          <w:sz w:val="24"/>
          <w:szCs w:val="24"/>
        </w:rPr>
        <w:t>ist</w:t>
      </w:r>
      <w:r w:rsidR="001270C2">
        <w:rPr>
          <w:rFonts w:ascii="Times New Roman" w:hAnsi="Times New Roman" w:cs="Times New Roman"/>
          <w:sz w:val="24"/>
          <w:szCs w:val="24"/>
        </w:rPr>
        <w:t xml:space="preserve"> – gar nicht mehr erfüllen lässt. </w:t>
      </w:r>
      <w:r w:rsidR="00201BC0">
        <w:rPr>
          <w:rFonts w:ascii="Times New Roman" w:hAnsi="Times New Roman" w:cs="Times New Roman"/>
          <w:sz w:val="24"/>
          <w:szCs w:val="24"/>
        </w:rPr>
        <w:t xml:space="preserve">Stellt man aber keine leistungsvereinbarungsperiodenbezogene Betrachtung an, wäre noch weniger einzusehen, warum eine Universität einmal je eine Stelle für Universitätsdozent/inn/en und </w:t>
      </w:r>
      <w:r w:rsidR="007E7DB4">
        <w:rPr>
          <w:rFonts w:ascii="Times New Roman" w:hAnsi="Times New Roman" w:cs="Times New Roman"/>
          <w:sz w:val="24"/>
          <w:szCs w:val="24"/>
        </w:rPr>
        <w:t xml:space="preserve">für </w:t>
      </w:r>
      <w:r w:rsidR="00201BC0">
        <w:rPr>
          <w:rFonts w:ascii="Times New Roman" w:hAnsi="Times New Roman" w:cs="Times New Roman"/>
          <w:sz w:val="24"/>
          <w:szCs w:val="24"/>
        </w:rPr>
        <w:t xml:space="preserve">Assoziierte Professor/inn/en festzulegen hat, wenn sie damit für alle Zukunft ihre gesetzliche Verpflichtung erfüllt hat und nie wieder eine weitere Stelle festzulegen hat. </w:t>
      </w:r>
      <w:r w:rsidR="001270C2">
        <w:rPr>
          <w:rFonts w:ascii="Times New Roman" w:hAnsi="Times New Roman" w:cs="Times New Roman"/>
          <w:sz w:val="24"/>
          <w:szCs w:val="24"/>
        </w:rPr>
        <w:t xml:space="preserve">Auch dieses Argument bestätigt die schon aus dem Wortlaut ableitbare Interpretation, wonach die Anzahl auch null betragen kann. </w:t>
      </w:r>
      <w:r w:rsidR="00397DFE">
        <w:rPr>
          <w:rFonts w:ascii="Times New Roman" w:hAnsi="Times New Roman" w:cs="Times New Roman"/>
          <w:sz w:val="24"/>
          <w:szCs w:val="24"/>
        </w:rPr>
        <w:t xml:space="preserve">Wenn aber die ausdrückliche Festlegung der Anzahl der Stellen mit null zulässig ist, spricht auch nichts dagegen, dies implizit </w:t>
      </w:r>
      <w:r w:rsidR="006169D2">
        <w:rPr>
          <w:rFonts w:ascii="Times New Roman" w:hAnsi="Times New Roman" w:cs="Times New Roman"/>
          <w:sz w:val="24"/>
          <w:szCs w:val="24"/>
        </w:rPr>
        <w:t>so zu regeln</w:t>
      </w:r>
      <w:r w:rsidR="00397DFE">
        <w:rPr>
          <w:rFonts w:ascii="Times New Roman" w:hAnsi="Times New Roman" w:cs="Times New Roman"/>
          <w:sz w:val="24"/>
          <w:szCs w:val="24"/>
        </w:rPr>
        <w:t xml:space="preserve">, indem der Entwicklungsplan </w:t>
      </w:r>
      <w:r w:rsidR="006169D2">
        <w:rPr>
          <w:rFonts w:ascii="Times New Roman" w:hAnsi="Times New Roman" w:cs="Times New Roman"/>
          <w:sz w:val="24"/>
          <w:szCs w:val="24"/>
        </w:rPr>
        <w:t>gar keine Festlegung</w:t>
      </w:r>
      <w:r w:rsidR="00397DFE">
        <w:rPr>
          <w:rFonts w:ascii="Times New Roman" w:hAnsi="Times New Roman" w:cs="Times New Roman"/>
          <w:sz w:val="24"/>
          <w:szCs w:val="24"/>
        </w:rPr>
        <w:t xml:space="preserve"> von Stellen nach § 99 Abs 4 UG </w:t>
      </w:r>
      <w:r w:rsidR="006169D2">
        <w:rPr>
          <w:rFonts w:ascii="Times New Roman" w:hAnsi="Times New Roman" w:cs="Times New Roman"/>
          <w:sz w:val="24"/>
          <w:szCs w:val="24"/>
        </w:rPr>
        <w:t>vornimmt</w:t>
      </w:r>
      <w:r w:rsidR="001270C2">
        <w:rPr>
          <w:rStyle w:val="Funotenzeichen"/>
          <w:rFonts w:ascii="Times New Roman" w:hAnsi="Times New Roman" w:cs="Times New Roman"/>
          <w:sz w:val="24"/>
          <w:szCs w:val="24"/>
        </w:rPr>
        <w:footnoteReference w:id="33"/>
      </w:r>
      <w:r w:rsidR="00397DFE">
        <w:rPr>
          <w:rFonts w:ascii="Times New Roman" w:hAnsi="Times New Roman" w:cs="Times New Roman"/>
          <w:sz w:val="24"/>
          <w:szCs w:val="24"/>
        </w:rPr>
        <w:t>.</w:t>
      </w:r>
    </w:p>
    <w:p w14:paraId="2554BA5C" w14:textId="2AEBDA60" w:rsidR="0081387D" w:rsidRDefault="004D2E04" w:rsidP="004D2E04">
      <w:pPr>
        <w:spacing w:line="360" w:lineRule="auto"/>
        <w:jc w:val="both"/>
        <w:rPr>
          <w:rFonts w:ascii="Times New Roman" w:hAnsi="Times New Roman" w:cs="Times New Roman"/>
          <w:sz w:val="24"/>
          <w:szCs w:val="24"/>
        </w:rPr>
      </w:pPr>
      <w:r w:rsidRPr="004D2E04">
        <w:rPr>
          <w:rFonts w:ascii="Times New Roman" w:hAnsi="Times New Roman" w:cs="Times New Roman"/>
          <w:sz w:val="24"/>
          <w:szCs w:val="24"/>
        </w:rPr>
        <w:t>Die vom Gesetzgeber gewählte Formulierung</w:t>
      </w:r>
      <w:r>
        <w:rPr>
          <w:rFonts w:ascii="Times New Roman" w:hAnsi="Times New Roman" w:cs="Times New Roman"/>
          <w:sz w:val="24"/>
          <w:szCs w:val="24"/>
        </w:rPr>
        <w:t xml:space="preserve"> </w:t>
      </w:r>
      <w:r w:rsidRPr="004D2E04">
        <w:rPr>
          <w:rFonts w:ascii="Times New Roman" w:hAnsi="Times New Roman" w:cs="Times New Roman"/>
          <w:sz w:val="24"/>
          <w:szCs w:val="24"/>
        </w:rPr>
        <w:t>(„jeweils“) scheint jedenfalls auszuschließen,</w:t>
      </w:r>
      <w:r>
        <w:rPr>
          <w:rFonts w:ascii="Times New Roman" w:hAnsi="Times New Roman" w:cs="Times New Roman"/>
          <w:sz w:val="24"/>
          <w:szCs w:val="24"/>
        </w:rPr>
        <w:t xml:space="preserve"> </w:t>
      </w:r>
      <w:r w:rsidRPr="004D2E04">
        <w:rPr>
          <w:rFonts w:ascii="Times New Roman" w:hAnsi="Times New Roman" w:cs="Times New Roman"/>
          <w:sz w:val="24"/>
          <w:szCs w:val="24"/>
        </w:rPr>
        <w:t xml:space="preserve">dass </w:t>
      </w:r>
      <w:r>
        <w:rPr>
          <w:rFonts w:ascii="Times New Roman" w:hAnsi="Times New Roman" w:cs="Times New Roman"/>
          <w:sz w:val="24"/>
          <w:szCs w:val="24"/>
        </w:rPr>
        <w:t>die</w:t>
      </w:r>
      <w:r w:rsidRPr="004D2E04">
        <w:rPr>
          <w:rFonts w:ascii="Times New Roman" w:hAnsi="Times New Roman" w:cs="Times New Roman"/>
          <w:sz w:val="24"/>
          <w:szCs w:val="24"/>
        </w:rPr>
        <w:t xml:space="preserve"> Anzahl für beide Gruppen gemeinsam festgelegt</w:t>
      </w:r>
      <w:r>
        <w:rPr>
          <w:rFonts w:ascii="Times New Roman" w:hAnsi="Times New Roman" w:cs="Times New Roman"/>
          <w:sz w:val="24"/>
          <w:szCs w:val="24"/>
        </w:rPr>
        <w:t xml:space="preserve"> </w:t>
      </w:r>
      <w:r w:rsidRPr="004D2E04">
        <w:rPr>
          <w:rFonts w:ascii="Times New Roman" w:hAnsi="Times New Roman" w:cs="Times New Roman"/>
          <w:sz w:val="24"/>
          <w:szCs w:val="24"/>
        </w:rPr>
        <w:t>wird. Auch die Erläuterungen zur Regierungsvorlage</w:t>
      </w:r>
      <w:r>
        <w:rPr>
          <w:rFonts w:ascii="Times New Roman" w:hAnsi="Times New Roman" w:cs="Times New Roman"/>
          <w:sz w:val="24"/>
          <w:szCs w:val="24"/>
        </w:rPr>
        <w:t xml:space="preserve"> </w:t>
      </w:r>
      <w:r w:rsidRPr="004D2E04">
        <w:rPr>
          <w:rFonts w:ascii="Times New Roman" w:hAnsi="Times New Roman" w:cs="Times New Roman"/>
          <w:sz w:val="24"/>
          <w:szCs w:val="24"/>
        </w:rPr>
        <w:t>sprechen davon, dass für „jede dieser Gruppen</w:t>
      </w:r>
      <w:r>
        <w:rPr>
          <w:rFonts w:ascii="Times New Roman" w:hAnsi="Times New Roman" w:cs="Times New Roman"/>
          <w:sz w:val="24"/>
          <w:szCs w:val="24"/>
        </w:rPr>
        <w:t xml:space="preserve"> </w:t>
      </w:r>
      <w:r w:rsidRPr="004D2E04">
        <w:rPr>
          <w:rFonts w:ascii="Times New Roman" w:hAnsi="Times New Roman" w:cs="Times New Roman"/>
          <w:sz w:val="24"/>
          <w:szCs w:val="24"/>
        </w:rPr>
        <w:t>[...] eine Anzahl von Stellen im Entwicklungsplan</w:t>
      </w:r>
      <w:r>
        <w:rPr>
          <w:rFonts w:ascii="Times New Roman" w:hAnsi="Times New Roman" w:cs="Times New Roman"/>
          <w:sz w:val="24"/>
          <w:szCs w:val="24"/>
        </w:rPr>
        <w:t xml:space="preserve"> </w:t>
      </w:r>
      <w:r w:rsidRPr="004D2E04">
        <w:rPr>
          <w:rFonts w:ascii="Times New Roman" w:hAnsi="Times New Roman" w:cs="Times New Roman"/>
          <w:sz w:val="24"/>
          <w:szCs w:val="24"/>
        </w:rPr>
        <w:t>festzulegen“ ist</w:t>
      </w:r>
      <w:r w:rsidR="005A4E25">
        <w:rPr>
          <w:rStyle w:val="Funotenzeichen"/>
          <w:rFonts w:ascii="Times New Roman" w:hAnsi="Times New Roman" w:cs="Times New Roman"/>
          <w:sz w:val="24"/>
          <w:szCs w:val="24"/>
        </w:rPr>
        <w:footnoteReference w:id="34"/>
      </w:r>
      <w:r w:rsidRPr="004D2E04">
        <w:rPr>
          <w:rFonts w:ascii="Times New Roman" w:hAnsi="Times New Roman" w:cs="Times New Roman"/>
          <w:sz w:val="24"/>
          <w:szCs w:val="24"/>
        </w:rPr>
        <w:t xml:space="preserve">. </w:t>
      </w:r>
      <w:r w:rsidR="002C6A19">
        <w:rPr>
          <w:rFonts w:ascii="Times New Roman" w:hAnsi="Times New Roman" w:cs="Times New Roman"/>
          <w:sz w:val="24"/>
          <w:szCs w:val="24"/>
        </w:rPr>
        <w:t>Ob aber auch e</w:t>
      </w:r>
      <w:r w:rsidRPr="004D2E04">
        <w:rPr>
          <w:rFonts w:ascii="Times New Roman" w:hAnsi="Times New Roman" w:cs="Times New Roman"/>
          <w:sz w:val="24"/>
          <w:szCs w:val="24"/>
        </w:rPr>
        <w:t>ine Ausschreibung von Stellen</w:t>
      </w:r>
      <w:r w:rsidR="002C6A19">
        <w:rPr>
          <w:rFonts w:ascii="Times New Roman" w:hAnsi="Times New Roman" w:cs="Times New Roman"/>
          <w:sz w:val="24"/>
          <w:szCs w:val="24"/>
        </w:rPr>
        <w:t xml:space="preserve"> ausgeschlossen ist</w:t>
      </w:r>
      <w:r w:rsidRPr="004D2E04">
        <w:rPr>
          <w:rFonts w:ascii="Times New Roman" w:hAnsi="Times New Roman" w:cs="Times New Roman"/>
          <w:sz w:val="24"/>
          <w:szCs w:val="24"/>
        </w:rPr>
        <w:t>, für</w:t>
      </w:r>
      <w:r>
        <w:rPr>
          <w:rFonts w:ascii="Times New Roman" w:hAnsi="Times New Roman" w:cs="Times New Roman"/>
          <w:sz w:val="24"/>
          <w:szCs w:val="24"/>
        </w:rPr>
        <w:t xml:space="preserve"> </w:t>
      </w:r>
      <w:r w:rsidRPr="004D2E04">
        <w:rPr>
          <w:rFonts w:ascii="Times New Roman" w:hAnsi="Times New Roman" w:cs="Times New Roman"/>
          <w:sz w:val="24"/>
          <w:szCs w:val="24"/>
        </w:rPr>
        <w:t>die sowohl Universitätsdozent/inn/en gemäß § 94</w:t>
      </w:r>
      <w:r>
        <w:rPr>
          <w:rFonts w:ascii="Times New Roman" w:hAnsi="Times New Roman" w:cs="Times New Roman"/>
          <w:sz w:val="24"/>
          <w:szCs w:val="24"/>
        </w:rPr>
        <w:t xml:space="preserve"> </w:t>
      </w:r>
      <w:r w:rsidRPr="004D2E04">
        <w:rPr>
          <w:rFonts w:ascii="Times New Roman" w:hAnsi="Times New Roman" w:cs="Times New Roman"/>
          <w:sz w:val="24"/>
          <w:szCs w:val="24"/>
        </w:rPr>
        <w:t>Abs 2 Z 2 UG als auch Assoziierte Professor/inn/en</w:t>
      </w:r>
      <w:r>
        <w:rPr>
          <w:rFonts w:ascii="Times New Roman" w:hAnsi="Times New Roman" w:cs="Times New Roman"/>
          <w:sz w:val="24"/>
          <w:szCs w:val="24"/>
        </w:rPr>
        <w:t xml:space="preserve"> </w:t>
      </w:r>
      <w:r w:rsidRPr="004D2E04">
        <w:rPr>
          <w:rFonts w:ascii="Times New Roman" w:hAnsi="Times New Roman" w:cs="Times New Roman"/>
          <w:sz w:val="24"/>
          <w:szCs w:val="24"/>
        </w:rPr>
        <w:t>in Betracht kommen</w:t>
      </w:r>
      <w:r w:rsidR="005A4E25">
        <w:rPr>
          <w:rStyle w:val="Funotenzeichen"/>
          <w:rFonts w:ascii="Times New Roman" w:hAnsi="Times New Roman" w:cs="Times New Roman"/>
          <w:sz w:val="24"/>
          <w:szCs w:val="24"/>
        </w:rPr>
        <w:footnoteReference w:id="35"/>
      </w:r>
      <w:r w:rsidRPr="004D2E04">
        <w:rPr>
          <w:rFonts w:ascii="Times New Roman" w:hAnsi="Times New Roman" w:cs="Times New Roman"/>
          <w:sz w:val="24"/>
          <w:szCs w:val="24"/>
        </w:rPr>
        <w:t xml:space="preserve">, ist </w:t>
      </w:r>
      <w:r w:rsidR="002C6A19">
        <w:rPr>
          <w:rFonts w:ascii="Times New Roman" w:hAnsi="Times New Roman" w:cs="Times New Roman"/>
          <w:sz w:val="24"/>
          <w:szCs w:val="24"/>
        </w:rPr>
        <w:t>damit noch nicht gesagt</w:t>
      </w:r>
      <w:r w:rsidR="005A4E25">
        <w:rPr>
          <w:rStyle w:val="Funotenzeichen"/>
          <w:rFonts w:ascii="Times New Roman" w:hAnsi="Times New Roman" w:cs="Times New Roman"/>
          <w:sz w:val="24"/>
          <w:szCs w:val="24"/>
        </w:rPr>
        <w:footnoteReference w:id="36"/>
      </w:r>
      <w:r w:rsidR="002C6A19">
        <w:rPr>
          <w:rFonts w:ascii="Times New Roman" w:hAnsi="Times New Roman" w:cs="Times New Roman"/>
          <w:sz w:val="24"/>
          <w:szCs w:val="24"/>
        </w:rPr>
        <w:t xml:space="preserve">. </w:t>
      </w:r>
      <w:r w:rsidR="005A4E25">
        <w:rPr>
          <w:rFonts w:ascii="Times New Roman" w:hAnsi="Times New Roman" w:cs="Times New Roman"/>
          <w:sz w:val="24"/>
          <w:szCs w:val="24"/>
        </w:rPr>
        <w:t>Es</w:t>
      </w:r>
      <w:r w:rsidRPr="004D2E04">
        <w:rPr>
          <w:rFonts w:ascii="Times New Roman" w:hAnsi="Times New Roman" w:cs="Times New Roman"/>
          <w:sz w:val="24"/>
          <w:szCs w:val="24"/>
        </w:rPr>
        <w:t xml:space="preserve"> ist </w:t>
      </w:r>
      <w:r w:rsidR="005A4E25">
        <w:rPr>
          <w:rFonts w:ascii="Times New Roman" w:hAnsi="Times New Roman" w:cs="Times New Roman"/>
          <w:sz w:val="24"/>
          <w:szCs w:val="24"/>
        </w:rPr>
        <w:t xml:space="preserve">nämlich </w:t>
      </w:r>
      <w:r w:rsidRPr="004D2E04">
        <w:rPr>
          <w:rFonts w:ascii="Times New Roman" w:hAnsi="Times New Roman" w:cs="Times New Roman"/>
          <w:sz w:val="24"/>
          <w:szCs w:val="24"/>
        </w:rPr>
        <w:t>keine Begründung</w:t>
      </w:r>
      <w:r>
        <w:rPr>
          <w:rFonts w:ascii="Times New Roman" w:hAnsi="Times New Roman" w:cs="Times New Roman"/>
          <w:sz w:val="24"/>
          <w:szCs w:val="24"/>
        </w:rPr>
        <w:t xml:space="preserve"> </w:t>
      </w:r>
      <w:r w:rsidRPr="004D2E04">
        <w:rPr>
          <w:rFonts w:ascii="Times New Roman" w:hAnsi="Times New Roman" w:cs="Times New Roman"/>
          <w:sz w:val="24"/>
          <w:szCs w:val="24"/>
        </w:rPr>
        <w:t xml:space="preserve">ersichtlich, warum nicht diese beiden Gruppen </w:t>
      </w:r>
      <w:r w:rsidR="005A4E25">
        <w:rPr>
          <w:rFonts w:ascii="Times New Roman" w:hAnsi="Times New Roman" w:cs="Times New Roman"/>
          <w:sz w:val="24"/>
          <w:szCs w:val="24"/>
        </w:rPr>
        <w:t xml:space="preserve">zumindest </w:t>
      </w:r>
      <w:r w:rsidRPr="004D2E04">
        <w:rPr>
          <w:rFonts w:ascii="Times New Roman" w:hAnsi="Times New Roman" w:cs="Times New Roman"/>
          <w:sz w:val="24"/>
          <w:szCs w:val="24"/>
        </w:rPr>
        <w:t>für</w:t>
      </w:r>
      <w:r>
        <w:rPr>
          <w:rFonts w:ascii="Times New Roman" w:hAnsi="Times New Roman" w:cs="Times New Roman"/>
          <w:sz w:val="24"/>
          <w:szCs w:val="24"/>
        </w:rPr>
        <w:t xml:space="preserve"> </w:t>
      </w:r>
      <w:r w:rsidRPr="004D2E04">
        <w:rPr>
          <w:rFonts w:ascii="Times New Roman" w:hAnsi="Times New Roman" w:cs="Times New Roman"/>
          <w:sz w:val="24"/>
          <w:szCs w:val="24"/>
        </w:rPr>
        <w:t>Zwecke der Ausschreibung von Stellen zusammengefasst</w:t>
      </w:r>
      <w:r>
        <w:rPr>
          <w:rFonts w:ascii="Times New Roman" w:hAnsi="Times New Roman" w:cs="Times New Roman"/>
          <w:sz w:val="24"/>
          <w:szCs w:val="24"/>
        </w:rPr>
        <w:t xml:space="preserve"> </w:t>
      </w:r>
      <w:r w:rsidRPr="004D2E04">
        <w:rPr>
          <w:rFonts w:ascii="Times New Roman" w:hAnsi="Times New Roman" w:cs="Times New Roman"/>
          <w:sz w:val="24"/>
          <w:szCs w:val="24"/>
        </w:rPr>
        <w:t>werden können, um den insgesamt bestmöglich</w:t>
      </w:r>
      <w:r>
        <w:rPr>
          <w:rFonts w:ascii="Times New Roman" w:hAnsi="Times New Roman" w:cs="Times New Roman"/>
          <w:sz w:val="24"/>
          <w:szCs w:val="24"/>
        </w:rPr>
        <w:t xml:space="preserve"> </w:t>
      </w:r>
      <w:r w:rsidRPr="004D2E04">
        <w:rPr>
          <w:rFonts w:ascii="Times New Roman" w:hAnsi="Times New Roman" w:cs="Times New Roman"/>
          <w:sz w:val="24"/>
          <w:szCs w:val="24"/>
        </w:rPr>
        <w:t xml:space="preserve">qualifizierten </w:t>
      </w:r>
      <w:r w:rsidR="00130433">
        <w:rPr>
          <w:rFonts w:ascii="Times New Roman" w:hAnsi="Times New Roman" w:cs="Times New Roman"/>
          <w:sz w:val="24"/>
          <w:szCs w:val="24"/>
        </w:rPr>
        <w:t xml:space="preserve">internen </w:t>
      </w:r>
      <w:r w:rsidRPr="004D2E04">
        <w:rPr>
          <w:rFonts w:ascii="Times New Roman" w:hAnsi="Times New Roman" w:cs="Times New Roman"/>
          <w:sz w:val="24"/>
          <w:szCs w:val="24"/>
        </w:rPr>
        <w:t>Bewerber/inne/n den Zugang zu solchen</w:t>
      </w:r>
      <w:r>
        <w:rPr>
          <w:rFonts w:ascii="Times New Roman" w:hAnsi="Times New Roman" w:cs="Times New Roman"/>
          <w:sz w:val="24"/>
          <w:szCs w:val="24"/>
        </w:rPr>
        <w:t xml:space="preserve"> </w:t>
      </w:r>
      <w:r w:rsidRPr="004D2E04">
        <w:rPr>
          <w:rFonts w:ascii="Times New Roman" w:hAnsi="Times New Roman" w:cs="Times New Roman"/>
          <w:sz w:val="24"/>
          <w:szCs w:val="24"/>
        </w:rPr>
        <w:t xml:space="preserve">Stellen zu ermöglichen. </w:t>
      </w:r>
      <w:r>
        <w:rPr>
          <w:rFonts w:ascii="Times New Roman" w:hAnsi="Times New Roman" w:cs="Times New Roman"/>
          <w:sz w:val="24"/>
          <w:szCs w:val="24"/>
        </w:rPr>
        <w:t>Dazu kommt noch, dass die Gruppe der Assoziierten Professor/inn</w:t>
      </w:r>
      <w:r w:rsidR="00CE5154">
        <w:rPr>
          <w:rFonts w:ascii="Times New Roman" w:hAnsi="Times New Roman" w:cs="Times New Roman"/>
          <w:sz w:val="24"/>
          <w:szCs w:val="24"/>
        </w:rPr>
        <w:t>/</w:t>
      </w:r>
      <w:r>
        <w:rPr>
          <w:rFonts w:ascii="Times New Roman" w:hAnsi="Times New Roman" w:cs="Times New Roman"/>
          <w:sz w:val="24"/>
          <w:szCs w:val="24"/>
        </w:rPr>
        <w:t>en keineswegs homogen sein muss. Assoziierte Professor</w:t>
      </w:r>
      <w:r w:rsidR="004A1F1C">
        <w:rPr>
          <w:rFonts w:ascii="Times New Roman" w:hAnsi="Times New Roman" w:cs="Times New Roman"/>
          <w:sz w:val="24"/>
          <w:szCs w:val="24"/>
        </w:rPr>
        <w:t>/</w:t>
      </w:r>
      <w:r>
        <w:rPr>
          <w:rFonts w:ascii="Times New Roman" w:hAnsi="Times New Roman" w:cs="Times New Roman"/>
          <w:sz w:val="24"/>
          <w:szCs w:val="24"/>
        </w:rPr>
        <w:t>inn</w:t>
      </w:r>
      <w:r w:rsidR="00CE5154">
        <w:rPr>
          <w:rFonts w:ascii="Times New Roman" w:hAnsi="Times New Roman" w:cs="Times New Roman"/>
          <w:sz w:val="24"/>
          <w:szCs w:val="24"/>
        </w:rPr>
        <w:t>/</w:t>
      </w:r>
      <w:r>
        <w:rPr>
          <w:rFonts w:ascii="Times New Roman" w:hAnsi="Times New Roman" w:cs="Times New Roman"/>
          <w:sz w:val="24"/>
          <w:szCs w:val="24"/>
        </w:rPr>
        <w:t xml:space="preserve">en, die nicht nach einem internationalen kompetitiven Standards </w:t>
      </w:r>
      <w:r w:rsidR="004A1F1C">
        <w:rPr>
          <w:rFonts w:ascii="Times New Roman" w:hAnsi="Times New Roman" w:cs="Times New Roman"/>
          <w:sz w:val="24"/>
          <w:szCs w:val="24"/>
        </w:rPr>
        <w:t xml:space="preserve">entsprechenden Auswahlverfahren bestellt wurden, können mehr Gemeinsamkeiten mit den Universitätsdozent/inn/en nach § 94 Abs 2 Z 2 UG aufweisen als mit jenen Assoziierten Professor/inn/en, die im Rahmen eines internationalen kompetitiven Standards entsprechenden Verfahren ausgewählt wurden und nach erfolgreicher Erfüllung der Qualifizierungsvereinbarung organisationsrechtlich den Universitätsprofessor/inn/en bereits gleichgestellt sind. </w:t>
      </w:r>
      <w:r w:rsidRPr="004D2E04">
        <w:rPr>
          <w:rFonts w:ascii="Times New Roman" w:hAnsi="Times New Roman" w:cs="Times New Roman"/>
          <w:sz w:val="24"/>
          <w:szCs w:val="24"/>
        </w:rPr>
        <w:t>Dies könnte dafür sprechen,</w:t>
      </w:r>
      <w:r>
        <w:rPr>
          <w:rFonts w:ascii="Times New Roman" w:hAnsi="Times New Roman" w:cs="Times New Roman"/>
          <w:sz w:val="24"/>
          <w:szCs w:val="24"/>
        </w:rPr>
        <w:t xml:space="preserve"> </w:t>
      </w:r>
      <w:r w:rsidRPr="004D2E04">
        <w:rPr>
          <w:rFonts w:ascii="Times New Roman" w:hAnsi="Times New Roman" w:cs="Times New Roman"/>
          <w:sz w:val="24"/>
          <w:szCs w:val="24"/>
        </w:rPr>
        <w:t>die Bedeutung des Wortes „jeweils“ in § 99 Abs 4 UG</w:t>
      </w:r>
      <w:r>
        <w:rPr>
          <w:rFonts w:ascii="Times New Roman" w:hAnsi="Times New Roman" w:cs="Times New Roman"/>
          <w:sz w:val="24"/>
          <w:szCs w:val="24"/>
        </w:rPr>
        <w:t xml:space="preserve"> </w:t>
      </w:r>
      <w:r w:rsidRPr="004D2E04">
        <w:rPr>
          <w:rFonts w:ascii="Times New Roman" w:hAnsi="Times New Roman" w:cs="Times New Roman"/>
          <w:sz w:val="24"/>
          <w:szCs w:val="24"/>
        </w:rPr>
        <w:t>darauf zu reduzieren, dass eine nach beiden Gruppen</w:t>
      </w:r>
      <w:r>
        <w:rPr>
          <w:rFonts w:ascii="Times New Roman" w:hAnsi="Times New Roman" w:cs="Times New Roman"/>
          <w:sz w:val="24"/>
          <w:szCs w:val="24"/>
        </w:rPr>
        <w:t xml:space="preserve"> </w:t>
      </w:r>
      <w:r w:rsidRPr="004D2E04">
        <w:rPr>
          <w:rFonts w:ascii="Times New Roman" w:hAnsi="Times New Roman" w:cs="Times New Roman"/>
          <w:sz w:val="24"/>
          <w:szCs w:val="24"/>
        </w:rPr>
        <w:t>getrennte Ausschreibung zwar möglich, aber nicht unbedingt</w:t>
      </w:r>
      <w:r>
        <w:rPr>
          <w:rFonts w:ascii="Times New Roman" w:hAnsi="Times New Roman" w:cs="Times New Roman"/>
          <w:sz w:val="24"/>
          <w:szCs w:val="24"/>
        </w:rPr>
        <w:t xml:space="preserve"> </w:t>
      </w:r>
      <w:r w:rsidRPr="004D2E04">
        <w:rPr>
          <w:rFonts w:ascii="Times New Roman" w:hAnsi="Times New Roman" w:cs="Times New Roman"/>
          <w:sz w:val="24"/>
          <w:szCs w:val="24"/>
        </w:rPr>
        <w:t>zwingend geboten ist. Schließlich sprechen</w:t>
      </w:r>
      <w:r>
        <w:rPr>
          <w:rFonts w:ascii="Times New Roman" w:hAnsi="Times New Roman" w:cs="Times New Roman"/>
          <w:sz w:val="24"/>
          <w:szCs w:val="24"/>
        </w:rPr>
        <w:t xml:space="preserve"> </w:t>
      </w:r>
      <w:r w:rsidRPr="004D2E04">
        <w:rPr>
          <w:rFonts w:ascii="Times New Roman" w:hAnsi="Times New Roman" w:cs="Times New Roman"/>
          <w:sz w:val="24"/>
          <w:szCs w:val="24"/>
        </w:rPr>
        <w:t>auch die Gesetzesmaterialien in weiterer Folge davon,</w:t>
      </w:r>
      <w:r>
        <w:rPr>
          <w:rFonts w:ascii="Times New Roman" w:hAnsi="Times New Roman" w:cs="Times New Roman"/>
          <w:sz w:val="24"/>
          <w:szCs w:val="24"/>
        </w:rPr>
        <w:t xml:space="preserve"> </w:t>
      </w:r>
      <w:r w:rsidRPr="004D2E04">
        <w:rPr>
          <w:rFonts w:ascii="Times New Roman" w:hAnsi="Times New Roman" w:cs="Times New Roman"/>
          <w:sz w:val="24"/>
          <w:szCs w:val="24"/>
        </w:rPr>
        <w:t>dass „Differenzierungen im vereinfachten Verfahren</w:t>
      </w:r>
      <w:r>
        <w:rPr>
          <w:rFonts w:ascii="Times New Roman" w:hAnsi="Times New Roman" w:cs="Times New Roman"/>
          <w:sz w:val="24"/>
          <w:szCs w:val="24"/>
        </w:rPr>
        <w:t xml:space="preserve"> </w:t>
      </w:r>
      <w:r w:rsidRPr="004D2E04">
        <w:rPr>
          <w:rFonts w:ascii="Times New Roman" w:hAnsi="Times New Roman" w:cs="Times New Roman"/>
          <w:sz w:val="24"/>
          <w:szCs w:val="24"/>
        </w:rPr>
        <w:t>[...] hinsichtlich der beiden Gruppen möglich“ sind,</w:t>
      </w:r>
      <w:r>
        <w:rPr>
          <w:rFonts w:ascii="Times New Roman" w:hAnsi="Times New Roman" w:cs="Times New Roman"/>
          <w:sz w:val="24"/>
          <w:szCs w:val="24"/>
        </w:rPr>
        <w:t xml:space="preserve"> </w:t>
      </w:r>
      <w:r w:rsidRPr="004D2E04">
        <w:rPr>
          <w:rFonts w:ascii="Times New Roman" w:hAnsi="Times New Roman" w:cs="Times New Roman"/>
          <w:sz w:val="24"/>
          <w:szCs w:val="24"/>
        </w:rPr>
        <w:t>„ansonsten werden die Verfahren universitätsweit einheitlich</w:t>
      </w:r>
      <w:r>
        <w:rPr>
          <w:rFonts w:ascii="Times New Roman" w:hAnsi="Times New Roman" w:cs="Times New Roman"/>
          <w:sz w:val="24"/>
          <w:szCs w:val="24"/>
        </w:rPr>
        <w:t xml:space="preserve"> </w:t>
      </w:r>
      <w:r w:rsidRPr="004D2E04">
        <w:rPr>
          <w:rFonts w:ascii="Times New Roman" w:hAnsi="Times New Roman" w:cs="Times New Roman"/>
          <w:sz w:val="24"/>
          <w:szCs w:val="24"/>
        </w:rPr>
        <w:t>auszugestalten sein.“</w:t>
      </w:r>
      <w:r>
        <w:rPr>
          <w:rStyle w:val="Funotenzeichen"/>
          <w:rFonts w:ascii="Times New Roman" w:hAnsi="Times New Roman" w:cs="Times New Roman"/>
          <w:sz w:val="24"/>
          <w:szCs w:val="24"/>
        </w:rPr>
        <w:footnoteReference w:id="37"/>
      </w:r>
    </w:p>
    <w:p w14:paraId="2554BA5D" w14:textId="598EA995" w:rsidR="004C3433" w:rsidRDefault="0081387D" w:rsidP="004D2E04">
      <w:pPr>
        <w:spacing w:line="360" w:lineRule="auto"/>
        <w:jc w:val="both"/>
        <w:rPr>
          <w:rFonts w:ascii="Times New Roman" w:hAnsi="Times New Roman" w:cs="Times New Roman"/>
          <w:sz w:val="24"/>
          <w:szCs w:val="24"/>
        </w:rPr>
      </w:pPr>
      <w:r>
        <w:rPr>
          <w:rFonts w:ascii="Times New Roman" w:hAnsi="Times New Roman" w:cs="Times New Roman"/>
          <w:sz w:val="24"/>
          <w:szCs w:val="24"/>
        </w:rPr>
        <w:t>Anders als für die für Universitätsprofessor/inn/en nach § 98 Abs 1 UG vorgesehenen Stellen ist eine fachliche Widmung der Stellen nach § 99 Abs 4 UG im Entwicklungsplan nicht erforderlich</w:t>
      </w:r>
      <w:r w:rsidR="002D6D42">
        <w:rPr>
          <w:rStyle w:val="Funotenzeichen"/>
          <w:rFonts w:ascii="Times New Roman" w:hAnsi="Times New Roman" w:cs="Times New Roman"/>
          <w:sz w:val="24"/>
          <w:szCs w:val="24"/>
        </w:rPr>
        <w:footnoteReference w:id="38"/>
      </w:r>
      <w:r>
        <w:rPr>
          <w:rFonts w:ascii="Times New Roman" w:hAnsi="Times New Roman" w:cs="Times New Roman"/>
          <w:sz w:val="24"/>
          <w:szCs w:val="24"/>
        </w:rPr>
        <w:t xml:space="preserve">. </w:t>
      </w:r>
      <w:r w:rsidR="002B01F1">
        <w:rPr>
          <w:rFonts w:ascii="Times New Roman" w:hAnsi="Times New Roman" w:cs="Times New Roman"/>
          <w:sz w:val="24"/>
          <w:szCs w:val="24"/>
        </w:rPr>
        <w:t xml:space="preserve">Wir haben </w:t>
      </w:r>
      <w:r w:rsidR="0092750F">
        <w:rPr>
          <w:rFonts w:ascii="Times New Roman" w:hAnsi="Times New Roman" w:cs="Times New Roman"/>
          <w:sz w:val="24"/>
          <w:szCs w:val="24"/>
        </w:rPr>
        <w:t xml:space="preserve">bereits </w:t>
      </w:r>
      <w:r w:rsidR="002B01F1">
        <w:rPr>
          <w:rFonts w:ascii="Times New Roman" w:hAnsi="Times New Roman" w:cs="Times New Roman"/>
          <w:sz w:val="24"/>
          <w:szCs w:val="24"/>
        </w:rPr>
        <w:t xml:space="preserve">an anderer Stelle die Auffassung vertreten, dass auch die Ausschreibung ohne spezifische fachliche Widmung erfolgen </w:t>
      </w:r>
      <w:r w:rsidR="006E29D8">
        <w:rPr>
          <w:rFonts w:ascii="Times New Roman" w:hAnsi="Times New Roman" w:cs="Times New Roman"/>
          <w:sz w:val="24"/>
          <w:szCs w:val="24"/>
        </w:rPr>
        <w:t>und alle an einer Universität vertretenen Fächer umfassen kann</w:t>
      </w:r>
      <w:r w:rsidR="005F54F6">
        <w:rPr>
          <w:rStyle w:val="Funotenzeichen"/>
          <w:rFonts w:ascii="Times New Roman" w:hAnsi="Times New Roman" w:cs="Times New Roman"/>
          <w:sz w:val="24"/>
          <w:szCs w:val="24"/>
        </w:rPr>
        <w:footnoteReference w:id="39"/>
      </w:r>
      <w:r w:rsidR="002B01F1">
        <w:rPr>
          <w:rFonts w:ascii="Times New Roman" w:hAnsi="Times New Roman" w:cs="Times New Roman"/>
          <w:sz w:val="24"/>
          <w:szCs w:val="24"/>
        </w:rPr>
        <w:t xml:space="preserve">. </w:t>
      </w:r>
      <w:r w:rsidR="00DB5F76" w:rsidRPr="00492A9E">
        <w:rPr>
          <w:rFonts w:ascii="Times New Roman" w:hAnsi="Times New Roman" w:cs="Times New Roman"/>
          <w:i/>
          <w:sz w:val="24"/>
          <w:szCs w:val="24"/>
        </w:rPr>
        <w:t>Perle</w:t>
      </w:r>
      <w:r w:rsidR="00DB5F76">
        <w:rPr>
          <w:rFonts w:ascii="Times New Roman" w:hAnsi="Times New Roman" w:cs="Times New Roman"/>
          <w:sz w:val="24"/>
          <w:szCs w:val="24"/>
        </w:rPr>
        <w:t xml:space="preserve"> </w:t>
      </w:r>
      <w:r w:rsidR="005A4E25">
        <w:rPr>
          <w:rFonts w:ascii="Times New Roman" w:hAnsi="Times New Roman" w:cs="Times New Roman"/>
          <w:sz w:val="24"/>
          <w:szCs w:val="24"/>
        </w:rPr>
        <w:t xml:space="preserve">wendet </w:t>
      </w:r>
      <w:r w:rsidR="00DB5F76">
        <w:rPr>
          <w:rFonts w:ascii="Times New Roman" w:hAnsi="Times New Roman" w:cs="Times New Roman"/>
          <w:sz w:val="24"/>
          <w:szCs w:val="24"/>
        </w:rPr>
        <w:t>dagegen ein, dass die Überprüfung der Qualifizierung einer Bewerberin oder eines Bewerbers im Auswahlverfahren in erster Linie anhand der Ausschreibungskriterien erfolgt</w:t>
      </w:r>
      <w:r w:rsidR="004C3433">
        <w:rPr>
          <w:rStyle w:val="Funotenzeichen"/>
          <w:rFonts w:ascii="Times New Roman" w:hAnsi="Times New Roman" w:cs="Times New Roman"/>
          <w:sz w:val="24"/>
          <w:szCs w:val="24"/>
        </w:rPr>
        <w:footnoteReference w:id="40"/>
      </w:r>
      <w:r w:rsidR="00DB5F76">
        <w:rPr>
          <w:rFonts w:ascii="Times New Roman" w:hAnsi="Times New Roman" w:cs="Times New Roman"/>
          <w:sz w:val="24"/>
          <w:szCs w:val="24"/>
        </w:rPr>
        <w:t xml:space="preserve">. </w:t>
      </w:r>
      <w:r w:rsidR="00A926EF">
        <w:rPr>
          <w:rFonts w:ascii="Times New Roman" w:hAnsi="Times New Roman" w:cs="Times New Roman"/>
          <w:sz w:val="24"/>
          <w:szCs w:val="24"/>
        </w:rPr>
        <w:t>Ihr ist darin beizupflichten, dass d</w:t>
      </w:r>
      <w:r w:rsidR="00DB5F76">
        <w:rPr>
          <w:rFonts w:ascii="Times New Roman" w:hAnsi="Times New Roman" w:cs="Times New Roman"/>
          <w:sz w:val="24"/>
          <w:szCs w:val="24"/>
        </w:rPr>
        <w:t xml:space="preserve">ie Voraussetzungen für die Berufung </w:t>
      </w:r>
      <w:r w:rsidR="000B7954">
        <w:rPr>
          <w:rFonts w:ascii="Times New Roman" w:hAnsi="Times New Roman" w:cs="Times New Roman"/>
          <w:sz w:val="24"/>
          <w:szCs w:val="24"/>
        </w:rPr>
        <w:t xml:space="preserve">auf </w:t>
      </w:r>
      <w:r w:rsidR="00DB5F76">
        <w:rPr>
          <w:rFonts w:ascii="Times New Roman" w:hAnsi="Times New Roman" w:cs="Times New Roman"/>
          <w:sz w:val="24"/>
          <w:szCs w:val="24"/>
        </w:rPr>
        <w:t>die Stelle bereits in die Ausschreibung aufzunehmen</w:t>
      </w:r>
      <w:r w:rsidR="00A926EF">
        <w:rPr>
          <w:rFonts w:ascii="Times New Roman" w:hAnsi="Times New Roman" w:cs="Times New Roman"/>
          <w:sz w:val="24"/>
          <w:szCs w:val="24"/>
        </w:rPr>
        <w:t xml:space="preserve"> sind</w:t>
      </w:r>
      <w:r w:rsidR="00DB5F76">
        <w:rPr>
          <w:rFonts w:ascii="Times New Roman" w:hAnsi="Times New Roman" w:cs="Times New Roman"/>
          <w:sz w:val="24"/>
          <w:szCs w:val="24"/>
        </w:rPr>
        <w:t xml:space="preserve">. </w:t>
      </w:r>
      <w:r w:rsidR="00A926EF">
        <w:rPr>
          <w:rFonts w:ascii="Times New Roman" w:hAnsi="Times New Roman" w:cs="Times New Roman"/>
          <w:sz w:val="24"/>
          <w:szCs w:val="24"/>
        </w:rPr>
        <w:t xml:space="preserve">Allerdings muss sich die Determinierung nicht alleine aus einer spezifischen fachlichen Widmung ergeben. Die von </w:t>
      </w:r>
      <w:r w:rsidR="00A926EF" w:rsidRPr="006548E3">
        <w:rPr>
          <w:rFonts w:ascii="Times New Roman" w:hAnsi="Times New Roman" w:cs="Times New Roman"/>
          <w:i/>
          <w:sz w:val="24"/>
          <w:szCs w:val="24"/>
        </w:rPr>
        <w:t>Gamper</w:t>
      </w:r>
      <w:r w:rsidR="00A926EF">
        <w:rPr>
          <w:rFonts w:ascii="Times New Roman" w:hAnsi="Times New Roman" w:cs="Times New Roman"/>
          <w:sz w:val="24"/>
          <w:szCs w:val="24"/>
        </w:rPr>
        <w:t xml:space="preserve"> </w:t>
      </w:r>
      <w:r w:rsidR="006548E3">
        <w:rPr>
          <w:rFonts w:ascii="Times New Roman" w:hAnsi="Times New Roman" w:cs="Times New Roman"/>
          <w:sz w:val="24"/>
          <w:szCs w:val="24"/>
        </w:rPr>
        <w:t xml:space="preserve">und </w:t>
      </w:r>
      <w:r w:rsidR="006548E3" w:rsidRPr="006548E3">
        <w:rPr>
          <w:rFonts w:ascii="Times New Roman" w:hAnsi="Times New Roman" w:cs="Times New Roman"/>
          <w:i/>
          <w:sz w:val="24"/>
          <w:szCs w:val="24"/>
        </w:rPr>
        <w:t>Perle</w:t>
      </w:r>
      <w:r w:rsidR="006548E3">
        <w:rPr>
          <w:rFonts w:ascii="Times New Roman" w:hAnsi="Times New Roman" w:cs="Times New Roman"/>
          <w:sz w:val="24"/>
          <w:szCs w:val="24"/>
        </w:rPr>
        <w:t xml:space="preserve"> offenbar für </w:t>
      </w:r>
      <w:r w:rsidR="003823C7">
        <w:rPr>
          <w:rFonts w:ascii="Times New Roman" w:hAnsi="Times New Roman" w:cs="Times New Roman"/>
          <w:sz w:val="24"/>
          <w:szCs w:val="24"/>
        </w:rPr>
        <w:t>eine</w:t>
      </w:r>
      <w:r w:rsidR="006548E3">
        <w:rPr>
          <w:rFonts w:ascii="Times New Roman" w:hAnsi="Times New Roman" w:cs="Times New Roman"/>
          <w:sz w:val="24"/>
          <w:szCs w:val="24"/>
        </w:rPr>
        <w:t xml:space="preserve"> Ausschreibung </w:t>
      </w:r>
      <w:r w:rsidR="00715D4D">
        <w:rPr>
          <w:rFonts w:ascii="Times New Roman" w:hAnsi="Times New Roman" w:cs="Times New Roman"/>
          <w:sz w:val="24"/>
          <w:szCs w:val="24"/>
        </w:rPr>
        <w:t xml:space="preserve">auch </w:t>
      </w:r>
      <w:r w:rsidR="006548E3">
        <w:rPr>
          <w:rFonts w:ascii="Times New Roman" w:hAnsi="Times New Roman" w:cs="Times New Roman"/>
          <w:sz w:val="24"/>
          <w:szCs w:val="24"/>
        </w:rPr>
        <w:t>als ausreichend erachtete Zuordnung zu einem „fachlichen Bereich“</w:t>
      </w:r>
      <w:r w:rsidR="004C3433">
        <w:rPr>
          <w:rStyle w:val="Funotenzeichen"/>
          <w:rFonts w:ascii="Times New Roman" w:hAnsi="Times New Roman" w:cs="Times New Roman"/>
          <w:sz w:val="24"/>
          <w:szCs w:val="24"/>
        </w:rPr>
        <w:footnoteReference w:id="41"/>
      </w:r>
      <w:r w:rsidR="006548E3">
        <w:rPr>
          <w:rFonts w:ascii="Times New Roman" w:hAnsi="Times New Roman" w:cs="Times New Roman"/>
          <w:sz w:val="24"/>
          <w:szCs w:val="24"/>
        </w:rPr>
        <w:t xml:space="preserve">, nach dem sich </w:t>
      </w:r>
      <w:r w:rsidR="004C3433">
        <w:rPr>
          <w:rFonts w:ascii="Times New Roman" w:hAnsi="Times New Roman" w:cs="Times New Roman"/>
          <w:sz w:val="24"/>
          <w:szCs w:val="24"/>
        </w:rPr>
        <w:t xml:space="preserve">auch </w:t>
      </w:r>
      <w:r w:rsidR="006548E3">
        <w:rPr>
          <w:rFonts w:ascii="Times New Roman" w:hAnsi="Times New Roman" w:cs="Times New Roman"/>
          <w:sz w:val="24"/>
          <w:szCs w:val="24"/>
        </w:rPr>
        <w:t>der Kreis der anzuhörenden Universitätsprofesso</w:t>
      </w:r>
      <w:r w:rsidR="003823C7">
        <w:rPr>
          <w:rFonts w:ascii="Times New Roman" w:hAnsi="Times New Roman" w:cs="Times New Roman"/>
          <w:sz w:val="24"/>
          <w:szCs w:val="24"/>
        </w:rPr>
        <w:t>r</w:t>
      </w:r>
      <w:r w:rsidR="006548E3">
        <w:rPr>
          <w:rFonts w:ascii="Times New Roman" w:hAnsi="Times New Roman" w:cs="Times New Roman"/>
          <w:sz w:val="24"/>
          <w:szCs w:val="24"/>
        </w:rPr>
        <w:t xml:space="preserve">/inn/en bestimmt, </w:t>
      </w:r>
      <w:r w:rsidR="003823C7">
        <w:rPr>
          <w:rFonts w:ascii="Times New Roman" w:hAnsi="Times New Roman" w:cs="Times New Roman"/>
          <w:sz w:val="24"/>
          <w:szCs w:val="24"/>
        </w:rPr>
        <w:t xml:space="preserve">würde alleine auch noch keine hinreichende Determinierung </w:t>
      </w:r>
      <w:r w:rsidR="0016438F">
        <w:rPr>
          <w:rFonts w:ascii="Times New Roman" w:hAnsi="Times New Roman" w:cs="Times New Roman"/>
          <w:sz w:val="24"/>
          <w:szCs w:val="24"/>
        </w:rPr>
        <w:t xml:space="preserve">des Ausschreibungstextes </w:t>
      </w:r>
      <w:r w:rsidR="003823C7">
        <w:rPr>
          <w:rFonts w:ascii="Times New Roman" w:hAnsi="Times New Roman" w:cs="Times New Roman"/>
          <w:sz w:val="24"/>
          <w:szCs w:val="24"/>
        </w:rPr>
        <w:t>gewährleisten. Bewerber/innen können innerhalb desselben fachlichen Bereichs für unterschiedliche Fächer qualifiziert sein</w:t>
      </w:r>
      <w:r w:rsidR="00E675CB">
        <w:rPr>
          <w:rFonts w:ascii="Times New Roman" w:hAnsi="Times New Roman" w:cs="Times New Roman"/>
          <w:sz w:val="24"/>
          <w:szCs w:val="24"/>
        </w:rPr>
        <w:t xml:space="preserve"> oder</w:t>
      </w:r>
      <w:r w:rsidR="003823C7">
        <w:rPr>
          <w:rFonts w:ascii="Times New Roman" w:hAnsi="Times New Roman" w:cs="Times New Roman"/>
          <w:sz w:val="24"/>
          <w:szCs w:val="24"/>
        </w:rPr>
        <w:t xml:space="preserve"> innerhalb dieser Fächer über unterschiedliche Schwerpunkte verfügen. Andere Kriterien müssen daher auch in diesen Fällen schon in der Ausschreibung hinzutreten, um die Auswahlentscheidung nachvollziehbar und nachprüfbar</w:t>
      </w:r>
      <w:r w:rsidR="00A926EF">
        <w:rPr>
          <w:rFonts w:ascii="Times New Roman" w:hAnsi="Times New Roman" w:cs="Times New Roman"/>
          <w:sz w:val="24"/>
          <w:szCs w:val="24"/>
        </w:rPr>
        <w:t xml:space="preserve"> </w:t>
      </w:r>
      <w:r w:rsidR="003823C7">
        <w:rPr>
          <w:rFonts w:ascii="Times New Roman" w:hAnsi="Times New Roman" w:cs="Times New Roman"/>
          <w:sz w:val="24"/>
          <w:szCs w:val="24"/>
        </w:rPr>
        <w:t xml:space="preserve">zu machen. </w:t>
      </w:r>
      <w:r w:rsidR="000A13A7">
        <w:rPr>
          <w:rFonts w:ascii="Times New Roman" w:hAnsi="Times New Roman" w:cs="Times New Roman"/>
          <w:sz w:val="24"/>
          <w:szCs w:val="24"/>
        </w:rPr>
        <w:t xml:space="preserve">Dazu können </w:t>
      </w:r>
      <w:r w:rsidR="006E29D8">
        <w:rPr>
          <w:rFonts w:ascii="Times New Roman" w:hAnsi="Times New Roman" w:cs="Times New Roman"/>
          <w:sz w:val="24"/>
          <w:szCs w:val="24"/>
        </w:rPr>
        <w:t xml:space="preserve">beispielsweise </w:t>
      </w:r>
      <w:r w:rsidR="000A13A7">
        <w:rPr>
          <w:rFonts w:ascii="Times New Roman" w:hAnsi="Times New Roman" w:cs="Times New Roman"/>
          <w:sz w:val="24"/>
          <w:szCs w:val="24"/>
        </w:rPr>
        <w:t>die fachliche Exzellenz der Bewerber/innen gemessen an den Maßstäben der jeweiligen scientific community des Faches</w:t>
      </w:r>
      <w:r w:rsidR="006E29D8">
        <w:rPr>
          <w:rFonts w:ascii="Times New Roman" w:hAnsi="Times New Roman" w:cs="Times New Roman"/>
          <w:sz w:val="24"/>
          <w:szCs w:val="24"/>
        </w:rPr>
        <w:t xml:space="preserve"> und</w:t>
      </w:r>
      <w:r w:rsidR="000A13A7">
        <w:rPr>
          <w:rFonts w:ascii="Times New Roman" w:hAnsi="Times New Roman" w:cs="Times New Roman"/>
          <w:sz w:val="24"/>
          <w:szCs w:val="24"/>
        </w:rPr>
        <w:t xml:space="preserve"> die didaktischen Fähigkeiten</w:t>
      </w:r>
      <w:r w:rsidR="006E29D8">
        <w:rPr>
          <w:rFonts w:ascii="Times New Roman" w:hAnsi="Times New Roman" w:cs="Times New Roman"/>
          <w:sz w:val="24"/>
          <w:szCs w:val="24"/>
        </w:rPr>
        <w:t xml:space="preserve"> ebenso wie</w:t>
      </w:r>
      <w:r w:rsidR="000A13A7">
        <w:rPr>
          <w:rFonts w:ascii="Times New Roman" w:hAnsi="Times New Roman" w:cs="Times New Roman"/>
          <w:sz w:val="24"/>
          <w:szCs w:val="24"/>
        </w:rPr>
        <w:t xml:space="preserve"> Erfahrungen auf dem Gebiet der Drittmitteleinwerbung, der Third Mission</w:t>
      </w:r>
      <w:r w:rsidR="004C3433">
        <w:rPr>
          <w:rFonts w:ascii="Times New Roman" w:hAnsi="Times New Roman" w:cs="Times New Roman"/>
          <w:sz w:val="24"/>
          <w:szCs w:val="24"/>
        </w:rPr>
        <w:t>,</w:t>
      </w:r>
      <w:r w:rsidR="000A13A7">
        <w:rPr>
          <w:rFonts w:ascii="Times New Roman" w:hAnsi="Times New Roman" w:cs="Times New Roman"/>
          <w:sz w:val="24"/>
          <w:szCs w:val="24"/>
        </w:rPr>
        <w:t xml:space="preserve"> des Managements von Forschungsprojekten </w:t>
      </w:r>
      <w:r w:rsidR="004C3433">
        <w:rPr>
          <w:rFonts w:ascii="Times New Roman" w:hAnsi="Times New Roman" w:cs="Times New Roman"/>
          <w:sz w:val="24"/>
          <w:szCs w:val="24"/>
        </w:rPr>
        <w:t xml:space="preserve">oder der universitären Selbstverwaltung </w:t>
      </w:r>
      <w:r w:rsidR="000A13A7">
        <w:rPr>
          <w:rFonts w:ascii="Times New Roman" w:hAnsi="Times New Roman" w:cs="Times New Roman"/>
          <w:sz w:val="24"/>
          <w:szCs w:val="24"/>
        </w:rPr>
        <w:t>gehören</w:t>
      </w:r>
      <w:r w:rsidR="0016438F">
        <w:rPr>
          <w:rStyle w:val="Funotenzeichen"/>
          <w:rFonts w:ascii="Times New Roman" w:hAnsi="Times New Roman" w:cs="Times New Roman"/>
          <w:sz w:val="24"/>
          <w:szCs w:val="24"/>
        </w:rPr>
        <w:footnoteReference w:id="42"/>
      </w:r>
      <w:r w:rsidR="000A13A7">
        <w:rPr>
          <w:rFonts w:ascii="Times New Roman" w:hAnsi="Times New Roman" w:cs="Times New Roman"/>
          <w:sz w:val="24"/>
          <w:szCs w:val="24"/>
        </w:rPr>
        <w:t>.</w:t>
      </w:r>
      <w:r w:rsidR="006E29D8">
        <w:rPr>
          <w:rFonts w:ascii="Times New Roman" w:hAnsi="Times New Roman" w:cs="Times New Roman"/>
          <w:sz w:val="24"/>
          <w:szCs w:val="24"/>
        </w:rPr>
        <w:t xml:space="preserve"> Anhand solcher Kriterien lässt sich dann auch eine Ausschreibung</w:t>
      </w:r>
      <w:r w:rsidR="000A13A7">
        <w:rPr>
          <w:rFonts w:ascii="Times New Roman" w:hAnsi="Times New Roman" w:cs="Times New Roman"/>
          <w:sz w:val="24"/>
          <w:szCs w:val="24"/>
        </w:rPr>
        <w:t xml:space="preserve"> </w:t>
      </w:r>
      <w:r w:rsidR="006E29D8">
        <w:rPr>
          <w:rFonts w:ascii="Times New Roman" w:hAnsi="Times New Roman" w:cs="Times New Roman"/>
          <w:sz w:val="24"/>
          <w:szCs w:val="24"/>
        </w:rPr>
        <w:t>hinreichend determinieren, die in ihrer thematischen Breite über einen „fachlichen Bereich“ hinausgeht und für die Bewerber/innen aus zwei oder mehreren fachlichen Bereichen oder gar aus allen an der Universität vertretenen Fächer</w:t>
      </w:r>
      <w:r w:rsidR="004F3499">
        <w:rPr>
          <w:rFonts w:ascii="Times New Roman" w:hAnsi="Times New Roman" w:cs="Times New Roman"/>
          <w:sz w:val="24"/>
          <w:szCs w:val="24"/>
        </w:rPr>
        <w:t>n</w:t>
      </w:r>
      <w:r w:rsidR="006E29D8">
        <w:rPr>
          <w:rFonts w:ascii="Times New Roman" w:hAnsi="Times New Roman" w:cs="Times New Roman"/>
          <w:sz w:val="24"/>
          <w:szCs w:val="24"/>
        </w:rPr>
        <w:t xml:space="preserve"> in Betracht kommen.</w:t>
      </w:r>
    </w:p>
    <w:p w14:paraId="2554BA5E" w14:textId="11368FD9" w:rsidR="00213112" w:rsidRDefault="004C3433" w:rsidP="00213112">
      <w:pPr>
        <w:spacing w:line="360" w:lineRule="auto"/>
        <w:jc w:val="both"/>
        <w:rPr>
          <w:rFonts w:ascii="Times New Roman" w:hAnsi="Times New Roman" w:cs="Times New Roman"/>
          <w:sz w:val="24"/>
          <w:szCs w:val="24"/>
        </w:rPr>
      </w:pPr>
      <w:r w:rsidRPr="00F85371">
        <w:rPr>
          <w:rFonts w:ascii="Times New Roman" w:hAnsi="Times New Roman" w:cs="Times New Roman"/>
          <w:i/>
          <w:sz w:val="24"/>
          <w:szCs w:val="24"/>
        </w:rPr>
        <w:t>Gamper</w:t>
      </w:r>
      <w:r>
        <w:rPr>
          <w:rFonts w:ascii="Times New Roman" w:hAnsi="Times New Roman" w:cs="Times New Roman"/>
          <w:sz w:val="24"/>
          <w:szCs w:val="24"/>
        </w:rPr>
        <w:t xml:space="preserve"> und </w:t>
      </w:r>
      <w:r w:rsidRPr="00F85371">
        <w:rPr>
          <w:rFonts w:ascii="Times New Roman" w:hAnsi="Times New Roman" w:cs="Times New Roman"/>
          <w:i/>
          <w:sz w:val="24"/>
          <w:szCs w:val="24"/>
        </w:rPr>
        <w:t>Perle</w:t>
      </w:r>
      <w:r>
        <w:rPr>
          <w:rFonts w:ascii="Times New Roman" w:hAnsi="Times New Roman" w:cs="Times New Roman"/>
          <w:sz w:val="24"/>
          <w:szCs w:val="24"/>
        </w:rPr>
        <w:t xml:space="preserve"> </w:t>
      </w:r>
      <w:r w:rsidR="00F85371">
        <w:rPr>
          <w:rFonts w:ascii="Times New Roman" w:hAnsi="Times New Roman" w:cs="Times New Roman"/>
          <w:sz w:val="24"/>
          <w:szCs w:val="24"/>
        </w:rPr>
        <w:t>erachten</w:t>
      </w:r>
      <w:r>
        <w:rPr>
          <w:rFonts w:ascii="Times New Roman" w:hAnsi="Times New Roman" w:cs="Times New Roman"/>
          <w:sz w:val="24"/>
          <w:szCs w:val="24"/>
        </w:rPr>
        <w:t xml:space="preserve"> </w:t>
      </w:r>
      <w:r w:rsidR="00100331">
        <w:rPr>
          <w:rFonts w:ascii="Times New Roman" w:hAnsi="Times New Roman" w:cs="Times New Roman"/>
          <w:sz w:val="24"/>
          <w:szCs w:val="24"/>
        </w:rPr>
        <w:t xml:space="preserve">auch aufgrund der in § 99 Abs 4 UG vorgesehenen Anhörung </w:t>
      </w:r>
      <w:r w:rsidR="00F85371">
        <w:rPr>
          <w:rFonts w:ascii="Times New Roman" w:hAnsi="Times New Roman" w:cs="Times New Roman"/>
          <w:sz w:val="24"/>
          <w:szCs w:val="24"/>
        </w:rPr>
        <w:t>die</w:t>
      </w:r>
      <w:r w:rsidR="006F13CD">
        <w:rPr>
          <w:rFonts w:ascii="Times New Roman" w:hAnsi="Times New Roman" w:cs="Times New Roman"/>
          <w:sz w:val="24"/>
          <w:szCs w:val="24"/>
        </w:rPr>
        <w:t xml:space="preserve"> </w:t>
      </w:r>
      <w:r w:rsidR="00100331">
        <w:rPr>
          <w:rFonts w:ascii="Times New Roman" w:hAnsi="Times New Roman" w:cs="Times New Roman"/>
          <w:sz w:val="24"/>
          <w:szCs w:val="24"/>
        </w:rPr>
        <w:t xml:space="preserve">Ausschreibung </w:t>
      </w:r>
      <w:r w:rsidR="006F13CD">
        <w:rPr>
          <w:rFonts w:ascii="Times New Roman" w:hAnsi="Times New Roman" w:cs="Times New Roman"/>
          <w:sz w:val="24"/>
          <w:szCs w:val="24"/>
        </w:rPr>
        <w:t xml:space="preserve">der Stelle </w:t>
      </w:r>
      <w:r w:rsidR="00100331">
        <w:rPr>
          <w:rFonts w:ascii="Times New Roman" w:hAnsi="Times New Roman" w:cs="Times New Roman"/>
          <w:sz w:val="24"/>
          <w:szCs w:val="24"/>
        </w:rPr>
        <w:t>für einen</w:t>
      </w:r>
      <w:r w:rsidR="006F13CD">
        <w:rPr>
          <w:rFonts w:ascii="Times New Roman" w:hAnsi="Times New Roman" w:cs="Times New Roman"/>
          <w:sz w:val="24"/>
          <w:szCs w:val="24"/>
        </w:rPr>
        <w:t xml:space="preserve"> </w:t>
      </w:r>
      <w:r w:rsidR="00100331">
        <w:rPr>
          <w:rFonts w:ascii="Times New Roman" w:hAnsi="Times New Roman" w:cs="Times New Roman"/>
          <w:sz w:val="24"/>
          <w:szCs w:val="24"/>
        </w:rPr>
        <w:t xml:space="preserve">gesamten </w:t>
      </w:r>
      <w:r w:rsidR="006F13CD">
        <w:rPr>
          <w:rFonts w:ascii="Times New Roman" w:hAnsi="Times New Roman" w:cs="Times New Roman"/>
          <w:sz w:val="24"/>
          <w:szCs w:val="24"/>
        </w:rPr>
        <w:t xml:space="preserve">fachlichen Bereich </w:t>
      </w:r>
      <w:r w:rsidR="00341186">
        <w:rPr>
          <w:rFonts w:ascii="Times New Roman" w:hAnsi="Times New Roman" w:cs="Times New Roman"/>
          <w:sz w:val="24"/>
          <w:szCs w:val="24"/>
        </w:rPr>
        <w:t xml:space="preserve">– also ohne dass </w:t>
      </w:r>
      <w:r w:rsidR="00100331">
        <w:rPr>
          <w:rFonts w:ascii="Times New Roman" w:hAnsi="Times New Roman" w:cs="Times New Roman"/>
          <w:sz w:val="24"/>
          <w:szCs w:val="24"/>
        </w:rPr>
        <w:t>eine nähere fachliche Eingrenzung erfolgt</w:t>
      </w:r>
      <w:r w:rsidR="005A4E25">
        <w:rPr>
          <w:rFonts w:ascii="Times New Roman" w:hAnsi="Times New Roman" w:cs="Times New Roman"/>
          <w:sz w:val="24"/>
          <w:szCs w:val="24"/>
        </w:rPr>
        <w:t xml:space="preserve"> </w:t>
      </w:r>
      <w:r w:rsidR="00100331">
        <w:rPr>
          <w:rFonts w:ascii="Times New Roman" w:hAnsi="Times New Roman" w:cs="Times New Roman"/>
          <w:sz w:val="24"/>
          <w:szCs w:val="24"/>
        </w:rPr>
        <w:t>–</w:t>
      </w:r>
      <w:r w:rsidR="00715D4D">
        <w:rPr>
          <w:rFonts w:ascii="Times New Roman" w:hAnsi="Times New Roman" w:cs="Times New Roman"/>
          <w:sz w:val="24"/>
          <w:szCs w:val="24"/>
        </w:rPr>
        <w:t xml:space="preserve"> </w:t>
      </w:r>
      <w:r w:rsidR="002740BE">
        <w:rPr>
          <w:rFonts w:ascii="Times New Roman" w:hAnsi="Times New Roman" w:cs="Times New Roman"/>
          <w:sz w:val="24"/>
          <w:szCs w:val="24"/>
        </w:rPr>
        <w:t>als</w:t>
      </w:r>
      <w:r w:rsidR="00100331">
        <w:rPr>
          <w:rFonts w:ascii="Times New Roman" w:hAnsi="Times New Roman" w:cs="Times New Roman"/>
          <w:sz w:val="24"/>
          <w:szCs w:val="24"/>
        </w:rPr>
        <w:t xml:space="preserve"> zulässig, nicht aber über </w:t>
      </w:r>
      <w:r w:rsidR="00077D03">
        <w:rPr>
          <w:rFonts w:ascii="Times New Roman" w:hAnsi="Times New Roman" w:cs="Times New Roman"/>
          <w:sz w:val="24"/>
          <w:szCs w:val="24"/>
        </w:rPr>
        <w:t>einen</w:t>
      </w:r>
      <w:r w:rsidR="00100331">
        <w:rPr>
          <w:rFonts w:ascii="Times New Roman" w:hAnsi="Times New Roman" w:cs="Times New Roman"/>
          <w:sz w:val="24"/>
          <w:szCs w:val="24"/>
        </w:rPr>
        <w:t xml:space="preserve"> fachlichen Bereich hinaus</w:t>
      </w:r>
      <w:r w:rsidR="00BD0849">
        <w:rPr>
          <w:rStyle w:val="Funotenzeichen"/>
          <w:rFonts w:ascii="Times New Roman" w:hAnsi="Times New Roman" w:cs="Times New Roman"/>
          <w:sz w:val="24"/>
          <w:szCs w:val="24"/>
        </w:rPr>
        <w:footnoteReference w:id="43"/>
      </w:r>
      <w:r w:rsidR="002740BE">
        <w:rPr>
          <w:rFonts w:ascii="Times New Roman" w:hAnsi="Times New Roman" w:cs="Times New Roman"/>
          <w:sz w:val="24"/>
          <w:szCs w:val="24"/>
        </w:rPr>
        <w:t xml:space="preserve">. Denn anzuhören sind jedenfalls die Universitätsprofessor/inn/en des jeweiligen fachlichen Bereichs, dem die Stelle zugeordnet ist. </w:t>
      </w:r>
      <w:r w:rsidR="008448DC">
        <w:rPr>
          <w:rFonts w:ascii="Times New Roman" w:hAnsi="Times New Roman" w:cs="Times New Roman"/>
          <w:sz w:val="24"/>
          <w:szCs w:val="24"/>
        </w:rPr>
        <w:t>Dieser Auffassung liegt offenbar die Vorstellung zugrunde</w:t>
      </w:r>
      <w:r w:rsidR="002740BE">
        <w:rPr>
          <w:rFonts w:ascii="Times New Roman" w:hAnsi="Times New Roman" w:cs="Times New Roman"/>
          <w:sz w:val="24"/>
          <w:szCs w:val="24"/>
        </w:rPr>
        <w:t xml:space="preserve">, dass </w:t>
      </w:r>
      <w:r w:rsidR="005A4E25">
        <w:rPr>
          <w:rFonts w:ascii="Times New Roman" w:hAnsi="Times New Roman" w:cs="Times New Roman"/>
          <w:sz w:val="24"/>
          <w:szCs w:val="24"/>
        </w:rPr>
        <w:t xml:space="preserve">die Universitätsprofessor/inn/en </w:t>
      </w:r>
      <w:r w:rsidR="002740BE">
        <w:rPr>
          <w:rFonts w:ascii="Times New Roman" w:hAnsi="Times New Roman" w:cs="Times New Roman"/>
          <w:sz w:val="24"/>
          <w:szCs w:val="24"/>
        </w:rPr>
        <w:t>nur dann dieses Anhörungsrecht kompetent wahrnehmen können, wenn alle Bewerbungen eine in ihrem fachlichen Bereich angesiedelte Stelle betreffen.</w:t>
      </w:r>
      <w:r w:rsidR="007A2953">
        <w:rPr>
          <w:rFonts w:ascii="Times New Roman" w:hAnsi="Times New Roman" w:cs="Times New Roman"/>
          <w:sz w:val="24"/>
          <w:szCs w:val="24"/>
        </w:rPr>
        <w:t xml:space="preserve"> Da die Universitätsprofessor/inn/en </w:t>
      </w:r>
      <w:r w:rsidR="0064341D">
        <w:rPr>
          <w:rFonts w:ascii="Times New Roman" w:hAnsi="Times New Roman" w:cs="Times New Roman"/>
          <w:sz w:val="24"/>
          <w:szCs w:val="24"/>
        </w:rPr>
        <w:t>abhängig von der</w:t>
      </w:r>
      <w:r w:rsidR="007A2953">
        <w:rPr>
          <w:rFonts w:ascii="Times New Roman" w:hAnsi="Times New Roman" w:cs="Times New Roman"/>
          <w:sz w:val="24"/>
          <w:szCs w:val="24"/>
        </w:rPr>
        <w:t xml:space="preserve"> </w:t>
      </w:r>
      <w:r w:rsidR="0064341D">
        <w:rPr>
          <w:rFonts w:ascii="Times New Roman" w:hAnsi="Times New Roman" w:cs="Times New Roman"/>
          <w:sz w:val="24"/>
          <w:szCs w:val="24"/>
        </w:rPr>
        <w:t xml:space="preserve">– </w:t>
      </w:r>
      <w:r w:rsidR="00CC234F">
        <w:rPr>
          <w:rFonts w:ascii="Times New Roman" w:hAnsi="Times New Roman" w:cs="Times New Roman"/>
          <w:sz w:val="24"/>
          <w:szCs w:val="24"/>
        </w:rPr>
        <w:t xml:space="preserve">nach </w:t>
      </w:r>
      <w:r w:rsidR="00CC234F" w:rsidRPr="009F61A3">
        <w:rPr>
          <w:rFonts w:ascii="Times New Roman" w:hAnsi="Times New Roman" w:cs="Times New Roman"/>
          <w:i/>
          <w:sz w:val="24"/>
          <w:szCs w:val="24"/>
        </w:rPr>
        <w:t>Kucsko-Stadlmayer</w:t>
      </w:r>
      <w:r w:rsidR="00CC234F">
        <w:rPr>
          <w:rFonts w:ascii="Times New Roman" w:hAnsi="Times New Roman" w:cs="Times New Roman"/>
          <w:sz w:val="24"/>
          <w:szCs w:val="24"/>
        </w:rPr>
        <w:t xml:space="preserve"> </w:t>
      </w:r>
      <w:r w:rsidR="0064341D">
        <w:rPr>
          <w:rFonts w:ascii="Times New Roman" w:hAnsi="Times New Roman" w:cs="Times New Roman"/>
          <w:sz w:val="24"/>
          <w:szCs w:val="24"/>
        </w:rPr>
        <w:t>universitätsautonom gestaltbaren</w:t>
      </w:r>
      <w:r w:rsidR="0064341D">
        <w:rPr>
          <w:rStyle w:val="Funotenzeichen"/>
          <w:rFonts w:ascii="Times New Roman" w:hAnsi="Times New Roman" w:cs="Times New Roman"/>
          <w:sz w:val="24"/>
          <w:szCs w:val="24"/>
        </w:rPr>
        <w:footnoteReference w:id="44"/>
      </w:r>
      <w:r w:rsidR="0064341D">
        <w:rPr>
          <w:rFonts w:ascii="Times New Roman" w:hAnsi="Times New Roman" w:cs="Times New Roman"/>
          <w:sz w:val="24"/>
          <w:szCs w:val="24"/>
        </w:rPr>
        <w:t xml:space="preserve"> – </w:t>
      </w:r>
      <w:r w:rsidR="007A2953">
        <w:rPr>
          <w:rFonts w:ascii="Times New Roman" w:hAnsi="Times New Roman" w:cs="Times New Roman"/>
          <w:sz w:val="24"/>
          <w:szCs w:val="24"/>
        </w:rPr>
        <w:t>thematische</w:t>
      </w:r>
      <w:r w:rsidR="0064341D">
        <w:rPr>
          <w:rFonts w:ascii="Times New Roman" w:hAnsi="Times New Roman" w:cs="Times New Roman"/>
          <w:sz w:val="24"/>
          <w:szCs w:val="24"/>
        </w:rPr>
        <w:t xml:space="preserve">n </w:t>
      </w:r>
      <w:r w:rsidR="007A2953">
        <w:rPr>
          <w:rFonts w:ascii="Times New Roman" w:hAnsi="Times New Roman" w:cs="Times New Roman"/>
          <w:sz w:val="24"/>
          <w:szCs w:val="24"/>
        </w:rPr>
        <w:t xml:space="preserve">Breite des „fachlichen Bereichs“ auch unterschiedliche Fächer abdecken und selbst innerhalb dieser Fächer über </w:t>
      </w:r>
      <w:r w:rsidR="005A4E25">
        <w:rPr>
          <w:rFonts w:ascii="Times New Roman" w:hAnsi="Times New Roman" w:cs="Times New Roman"/>
          <w:sz w:val="24"/>
          <w:szCs w:val="24"/>
        </w:rPr>
        <w:t xml:space="preserve">eigene </w:t>
      </w:r>
      <w:r w:rsidR="007A2953">
        <w:rPr>
          <w:rFonts w:ascii="Times New Roman" w:hAnsi="Times New Roman" w:cs="Times New Roman"/>
          <w:sz w:val="24"/>
          <w:szCs w:val="24"/>
        </w:rPr>
        <w:t>Schwerpunkte verfügen</w:t>
      </w:r>
      <w:r w:rsidR="00341186" w:rsidRPr="00341186">
        <w:rPr>
          <w:rFonts w:ascii="Times New Roman" w:hAnsi="Times New Roman" w:cs="Times New Roman"/>
          <w:sz w:val="24"/>
          <w:szCs w:val="24"/>
        </w:rPr>
        <w:t xml:space="preserve"> </w:t>
      </w:r>
      <w:r w:rsidR="00341186">
        <w:rPr>
          <w:rFonts w:ascii="Times New Roman" w:hAnsi="Times New Roman" w:cs="Times New Roman"/>
          <w:sz w:val="24"/>
          <w:szCs w:val="24"/>
        </w:rPr>
        <w:t>können</w:t>
      </w:r>
      <w:r w:rsidR="007A2953">
        <w:rPr>
          <w:rFonts w:ascii="Times New Roman" w:hAnsi="Times New Roman" w:cs="Times New Roman"/>
          <w:sz w:val="24"/>
          <w:szCs w:val="24"/>
        </w:rPr>
        <w:t xml:space="preserve">, wird die fachliche Kompetenz der anzuhörenden Universitätsprofessor/inn/en </w:t>
      </w:r>
      <w:r w:rsidR="008448DC">
        <w:rPr>
          <w:rFonts w:ascii="Times New Roman" w:hAnsi="Times New Roman" w:cs="Times New Roman"/>
          <w:sz w:val="24"/>
          <w:szCs w:val="24"/>
        </w:rPr>
        <w:t xml:space="preserve">aber </w:t>
      </w:r>
      <w:r w:rsidR="007A2953">
        <w:rPr>
          <w:rFonts w:ascii="Times New Roman" w:hAnsi="Times New Roman" w:cs="Times New Roman"/>
          <w:sz w:val="24"/>
          <w:szCs w:val="24"/>
        </w:rPr>
        <w:t xml:space="preserve">auch innerhalb eines fachlichen Bereichs je nach fachlicher Ausrichtung der Bewerber/innen unterschiedlich sein. </w:t>
      </w:r>
      <w:r w:rsidR="008E6E9F">
        <w:rPr>
          <w:rFonts w:ascii="Times New Roman" w:hAnsi="Times New Roman" w:cs="Times New Roman"/>
          <w:sz w:val="24"/>
          <w:szCs w:val="24"/>
        </w:rPr>
        <w:t xml:space="preserve">Eine vergleichende Beurteilung der </w:t>
      </w:r>
      <w:r w:rsidR="007A2953">
        <w:rPr>
          <w:rFonts w:ascii="Times New Roman" w:hAnsi="Times New Roman" w:cs="Times New Roman"/>
          <w:sz w:val="24"/>
          <w:szCs w:val="24"/>
        </w:rPr>
        <w:t>Bewerber/innen</w:t>
      </w:r>
      <w:r w:rsidR="008E6E9F">
        <w:rPr>
          <w:rFonts w:ascii="Times New Roman" w:hAnsi="Times New Roman" w:cs="Times New Roman"/>
          <w:sz w:val="24"/>
          <w:szCs w:val="24"/>
        </w:rPr>
        <w:t xml:space="preserve"> </w:t>
      </w:r>
      <w:r w:rsidR="007C0303">
        <w:rPr>
          <w:rFonts w:ascii="Times New Roman" w:hAnsi="Times New Roman" w:cs="Times New Roman"/>
          <w:sz w:val="24"/>
          <w:szCs w:val="24"/>
        </w:rPr>
        <w:t xml:space="preserve">durch die anzuhörenden Universitätsprofessor/inn/en </w:t>
      </w:r>
      <w:r w:rsidR="008E6E9F">
        <w:rPr>
          <w:rFonts w:ascii="Times New Roman" w:hAnsi="Times New Roman" w:cs="Times New Roman"/>
          <w:sz w:val="24"/>
          <w:szCs w:val="24"/>
        </w:rPr>
        <w:t xml:space="preserve">kann </w:t>
      </w:r>
      <w:r w:rsidR="005A4E25">
        <w:rPr>
          <w:rFonts w:ascii="Times New Roman" w:hAnsi="Times New Roman" w:cs="Times New Roman"/>
          <w:sz w:val="24"/>
          <w:szCs w:val="24"/>
        </w:rPr>
        <w:t xml:space="preserve">auch </w:t>
      </w:r>
      <w:r w:rsidR="008E6E9F">
        <w:rPr>
          <w:rFonts w:ascii="Times New Roman" w:hAnsi="Times New Roman" w:cs="Times New Roman"/>
          <w:sz w:val="24"/>
          <w:szCs w:val="24"/>
        </w:rPr>
        <w:t xml:space="preserve">in diesen Fällen auf Schwierigkeiten stoßen. </w:t>
      </w:r>
      <w:r w:rsidR="007C0303">
        <w:rPr>
          <w:rFonts w:ascii="Times New Roman" w:hAnsi="Times New Roman" w:cs="Times New Roman"/>
          <w:sz w:val="24"/>
          <w:szCs w:val="24"/>
        </w:rPr>
        <w:t>Die Universitätsprofessor/inn/en des fachlichen Bereichs werden sich in manchen Fällen auf die Bewerber/innen konzentrieren müssen, deren Qualifikationen von i</w:t>
      </w:r>
      <w:r w:rsidR="00D4365F">
        <w:rPr>
          <w:rFonts w:ascii="Times New Roman" w:hAnsi="Times New Roman" w:cs="Times New Roman"/>
          <w:sz w:val="24"/>
          <w:szCs w:val="24"/>
        </w:rPr>
        <w:t>h</w:t>
      </w:r>
      <w:r w:rsidR="007C0303">
        <w:rPr>
          <w:rFonts w:ascii="Times New Roman" w:hAnsi="Times New Roman" w:cs="Times New Roman"/>
          <w:sz w:val="24"/>
          <w:szCs w:val="24"/>
        </w:rPr>
        <w:t xml:space="preserve">rer </w:t>
      </w:r>
      <w:r w:rsidR="008448DC">
        <w:rPr>
          <w:rFonts w:ascii="Times New Roman" w:hAnsi="Times New Roman" w:cs="Times New Roman"/>
          <w:sz w:val="24"/>
          <w:szCs w:val="24"/>
        </w:rPr>
        <w:t xml:space="preserve">jeweiligen </w:t>
      </w:r>
      <w:r w:rsidR="007C0303">
        <w:rPr>
          <w:rFonts w:ascii="Times New Roman" w:hAnsi="Times New Roman" w:cs="Times New Roman"/>
          <w:sz w:val="24"/>
          <w:szCs w:val="24"/>
        </w:rPr>
        <w:t xml:space="preserve">fachlichen Expertise abgedeckt sind. </w:t>
      </w:r>
      <w:r w:rsidR="008E6E9F">
        <w:rPr>
          <w:rFonts w:ascii="Times New Roman" w:hAnsi="Times New Roman" w:cs="Times New Roman"/>
          <w:sz w:val="24"/>
          <w:szCs w:val="24"/>
        </w:rPr>
        <w:t xml:space="preserve">Diese Schwierigkeiten werden </w:t>
      </w:r>
      <w:r w:rsidR="00D4365F">
        <w:rPr>
          <w:rFonts w:ascii="Times New Roman" w:hAnsi="Times New Roman" w:cs="Times New Roman"/>
          <w:sz w:val="24"/>
          <w:szCs w:val="24"/>
        </w:rPr>
        <w:t xml:space="preserve">nur graduell größer, wenn die Bewerbungen zwei oder mehr fachlichen Bereichen zuzuordnen sind, und die Anhörung daher von aus </w:t>
      </w:r>
      <w:r w:rsidR="005A4E25">
        <w:rPr>
          <w:rFonts w:ascii="Times New Roman" w:hAnsi="Times New Roman" w:cs="Times New Roman"/>
          <w:sz w:val="24"/>
          <w:szCs w:val="24"/>
        </w:rPr>
        <w:t xml:space="preserve">verschiedenen </w:t>
      </w:r>
      <w:r w:rsidR="00D4365F">
        <w:rPr>
          <w:rFonts w:ascii="Times New Roman" w:hAnsi="Times New Roman" w:cs="Times New Roman"/>
          <w:sz w:val="24"/>
          <w:szCs w:val="24"/>
        </w:rPr>
        <w:t xml:space="preserve">fachlichen Bereichen stammenden Universitätsprofessor/inn/en wahrzunehmen ist. </w:t>
      </w:r>
      <w:r w:rsidR="006A4DB0">
        <w:rPr>
          <w:rFonts w:ascii="Times New Roman" w:hAnsi="Times New Roman" w:cs="Times New Roman"/>
          <w:sz w:val="24"/>
          <w:szCs w:val="24"/>
        </w:rPr>
        <w:t>Darüber hinaus</w:t>
      </w:r>
      <w:r w:rsidR="00D4365F">
        <w:rPr>
          <w:rFonts w:ascii="Times New Roman" w:hAnsi="Times New Roman" w:cs="Times New Roman"/>
          <w:sz w:val="24"/>
          <w:szCs w:val="24"/>
        </w:rPr>
        <w:t xml:space="preserve"> stellt sich die Frage, ob das Anhörungsrecht </w:t>
      </w:r>
      <w:r w:rsidR="0015692D">
        <w:rPr>
          <w:rFonts w:ascii="Times New Roman" w:hAnsi="Times New Roman" w:cs="Times New Roman"/>
          <w:sz w:val="24"/>
          <w:szCs w:val="24"/>
        </w:rPr>
        <w:t xml:space="preserve">unbedingt </w:t>
      </w:r>
      <w:r w:rsidR="00D4365F">
        <w:rPr>
          <w:rFonts w:ascii="Times New Roman" w:hAnsi="Times New Roman" w:cs="Times New Roman"/>
          <w:sz w:val="24"/>
          <w:szCs w:val="24"/>
        </w:rPr>
        <w:t xml:space="preserve">eine vergleichende Beurteilung mehrerer Bewerbungen umfassen muss. Nach </w:t>
      </w:r>
      <w:r w:rsidR="00D4365F" w:rsidRPr="007F2D2E">
        <w:rPr>
          <w:rFonts w:ascii="Times New Roman" w:hAnsi="Times New Roman" w:cs="Times New Roman"/>
          <w:i/>
          <w:sz w:val="24"/>
          <w:szCs w:val="24"/>
        </w:rPr>
        <w:t>Kucsko-Stadlmayer</w:t>
      </w:r>
      <w:r w:rsidR="00D4365F">
        <w:rPr>
          <w:rFonts w:ascii="Times New Roman" w:hAnsi="Times New Roman" w:cs="Times New Roman"/>
          <w:sz w:val="24"/>
          <w:szCs w:val="24"/>
        </w:rPr>
        <w:t xml:space="preserve"> </w:t>
      </w:r>
      <w:r w:rsidR="007F2D2E">
        <w:rPr>
          <w:rFonts w:ascii="Times New Roman" w:hAnsi="Times New Roman" w:cs="Times New Roman"/>
          <w:sz w:val="24"/>
          <w:szCs w:val="24"/>
        </w:rPr>
        <w:t>ist unter Anhörung „ein Vorgang zu verstehen, bei dem der Rektor die von ihm zur Auswahl vorgesehenen Personen den Professoren zumindest zur Stellungnahme vorlegt“</w:t>
      </w:r>
      <w:r w:rsidR="007F2D2E">
        <w:rPr>
          <w:rStyle w:val="Funotenzeichen"/>
          <w:rFonts w:ascii="Times New Roman" w:hAnsi="Times New Roman" w:cs="Times New Roman"/>
          <w:sz w:val="24"/>
          <w:szCs w:val="24"/>
        </w:rPr>
        <w:footnoteReference w:id="45"/>
      </w:r>
      <w:r w:rsidR="007F2D2E">
        <w:rPr>
          <w:rFonts w:ascii="Times New Roman" w:hAnsi="Times New Roman" w:cs="Times New Roman"/>
          <w:sz w:val="24"/>
          <w:szCs w:val="24"/>
        </w:rPr>
        <w:t xml:space="preserve">. Hat </w:t>
      </w:r>
      <w:r w:rsidR="006C45D2">
        <w:rPr>
          <w:rFonts w:ascii="Times New Roman" w:hAnsi="Times New Roman" w:cs="Times New Roman"/>
          <w:sz w:val="24"/>
          <w:szCs w:val="24"/>
        </w:rPr>
        <w:t xml:space="preserve">die </w:t>
      </w:r>
      <w:r w:rsidR="007F2D2E">
        <w:rPr>
          <w:rFonts w:ascii="Times New Roman" w:hAnsi="Times New Roman" w:cs="Times New Roman"/>
          <w:sz w:val="24"/>
          <w:szCs w:val="24"/>
        </w:rPr>
        <w:t>Rektor</w:t>
      </w:r>
      <w:r w:rsidR="006C45D2">
        <w:rPr>
          <w:rFonts w:ascii="Times New Roman" w:hAnsi="Times New Roman" w:cs="Times New Roman"/>
          <w:sz w:val="24"/>
          <w:szCs w:val="24"/>
        </w:rPr>
        <w:t>in</w:t>
      </w:r>
      <w:r w:rsidR="007F2D2E">
        <w:rPr>
          <w:rFonts w:ascii="Times New Roman" w:hAnsi="Times New Roman" w:cs="Times New Roman"/>
          <w:sz w:val="24"/>
          <w:szCs w:val="24"/>
        </w:rPr>
        <w:t xml:space="preserve"> oder </w:t>
      </w:r>
      <w:r w:rsidR="006C45D2">
        <w:rPr>
          <w:rFonts w:ascii="Times New Roman" w:hAnsi="Times New Roman" w:cs="Times New Roman"/>
          <w:sz w:val="24"/>
          <w:szCs w:val="24"/>
        </w:rPr>
        <w:t xml:space="preserve">der </w:t>
      </w:r>
      <w:r w:rsidR="007F2D2E">
        <w:rPr>
          <w:rFonts w:ascii="Times New Roman" w:hAnsi="Times New Roman" w:cs="Times New Roman"/>
          <w:sz w:val="24"/>
          <w:szCs w:val="24"/>
        </w:rPr>
        <w:t xml:space="preserve">Rektor </w:t>
      </w:r>
      <w:r w:rsidR="00077D03">
        <w:rPr>
          <w:rFonts w:ascii="Times New Roman" w:hAnsi="Times New Roman" w:cs="Times New Roman"/>
          <w:sz w:val="24"/>
          <w:szCs w:val="24"/>
        </w:rPr>
        <w:t xml:space="preserve">nur </w:t>
      </w:r>
      <w:r w:rsidR="007F2D2E">
        <w:rPr>
          <w:rFonts w:ascii="Times New Roman" w:hAnsi="Times New Roman" w:cs="Times New Roman"/>
          <w:sz w:val="24"/>
          <w:szCs w:val="24"/>
        </w:rPr>
        <w:t xml:space="preserve">eine bestimmte Person zur Auswahl in Betracht gezogen, </w:t>
      </w:r>
      <w:r w:rsidR="00DF25D1">
        <w:rPr>
          <w:rFonts w:ascii="Times New Roman" w:hAnsi="Times New Roman" w:cs="Times New Roman"/>
          <w:sz w:val="24"/>
          <w:szCs w:val="24"/>
        </w:rPr>
        <w:t>würden</w:t>
      </w:r>
      <w:r w:rsidR="007F2D2E">
        <w:rPr>
          <w:rFonts w:ascii="Times New Roman" w:hAnsi="Times New Roman" w:cs="Times New Roman"/>
          <w:sz w:val="24"/>
          <w:szCs w:val="24"/>
        </w:rPr>
        <w:t xml:space="preserve"> sich die </w:t>
      </w:r>
      <w:r w:rsidR="00DF25D1">
        <w:rPr>
          <w:rFonts w:ascii="Times New Roman" w:hAnsi="Times New Roman" w:cs="Times New Roman"/>
          <w:sz w:val="24"/>
          <w:szCs w:val="24"/>
        </w:rPr>
        <w:t>anzuhörenden Universitätsprofessor/inn/en</w:t>
      </w:r>
      <w:r w:rsidR="007F2D2E">
        <w:rPr>
          <w:rFonts w:ascii="Times New Roman" w:hAnsi="Times New Roman" w:cs="Times New Roman"/>
          <w:sz w:val="24"/>
          <w:szCs w:val="24"/>
        </w:rPr>
        <w:t xml:space="preserve"> auf eine</w:t>
      </w:r>
      <w:r w:rsidR="00E00D11">
        <w:rPr>
          <w:rFonts w:ascii="Times New Roman" w:hAnsi="Times New Roman" w:cs="Times New Roman"/>
          <w:sz w:val="24"/>
          <w:szCs w:val="24"/>
        </w:rPr>
        <w:t xml:space="preserve"> einzige Bewerberin oder einen</w:t>
      </w:r>
      <w:r w:rsidR="007F2D2E">
        <w:rPr>
          <w:rFonts w:ascii="Times New Roman" w:hAnsi="Times New Roman" w:cs="Times New Roman"/>
          <w:sz w:val="24"/>
          <w:szCs w:val="24"/>
        </w:rPr>
        <w:t xml:space="preserve"> einzigen Bewerber </w:t>
      </w:r>
      <w:r w:rsidR="00DF25D1">
        <w:rPr>
          <w:rFonts w:ascii="Times New Roman" w:hAnsi="Times New Roman" w:cs="Times New Roman"/>
          <w:sz w:val="24"/>
          <w:szCs w:val="24"/>
        </w:rPr>
        <w:t>beschränken</w:t>
      </w:r>
      <w:r w:rsidR="007F2D2E">
        <w:rPr>
          <w:rFonts w:ascii="Times New Roman" w:hAnsi="Times New Roman" w:cs="Times New Roman"/>
          <w:sz w:val="24"/>
          <w:szCs w:val="24"/>
        </w:rPr>
        <w:t xml:space="preserve">. </w:t>
      </w:r>
      <w:r w:rsidR="00DF25D1">
        <w:rPr>
          <w:rFonts w:ascii="Times New Roman" w:hAnsi="Times New Roman" w:cs="Times New Roman"/>
          <w:sz w:val="24"/>
          <w:szCs w:val="24"/>
        </w:rPr>
        <w:t xml:space="preserve">In diesem Fall geht es bei der Anhörung dann nicht um einen Vergleich verschiedener Bewerbungen, sondern um die Qualifikation </w:t>
      </w:r>
      <w:r w:rsidR="004F3499">
        <w:rPr>
          <w:rFonts w:ascii="Times New Roman" w:hAnsi="Times New Roman" w:cs="Times New Roman"/>
          <w:sz w:val="24"/>
          <w:szCs w:val="24"/>
        </w:rPr>
        <w:t xml:space="preserve">einer </w:t>
      </w:r>
      <w:r w:rsidR="00DF25D1">
        <w:rPr>
          <w:rFonts w:ascii="Times New Roman" w:hAnsi="Times New Roman" w:cs="Times New Roman"/>
          <w:sz w:val="24"/>
          <w:szCs w:val="24"/>
        </w:rPr>
        <w:t>einzigen Bewerberin</w:t>
      </w:r>
      <w:r w:rsidR="006C45D2">
        <w:rPr>
          <w:rFonts w:ascii="Times New Roman" w:hAnsi="Times New Roman" w:cs="Times New Roman"/>
          <w:sz w:val="24"/>
          <w:szCs w:val="24"/>
        </w:rPr>
        <w:t xml:space="preserve"> oder eines einzigen Bewerbers</w:t>
      </w:r>
      <w:r w:rsidR="00DF25D1">
        <w:rPr>
          <w:rFonts w:ascii="Times New Roman" w:hAnsi="Times New Roman" w:cs="Times New Roman"/>
          <w:sz w:val="24"/>
          <w:szCs w:val="24"/>
        </w:rPr>
        <w:t>. Die Universitätsprofessor/inn/en können dann ihre Expertise darauf verwenden, um zu</w:t>
      </w:r>
      <w:r w:rsidR="006A4DB0">
        <w:rPr>
          <w:rFonts w:ascii="Times New Roman" w:hAnsi="Times New Roman" w:cs="Times New Roman"/>
          <w:sz w:val="24"/>
          <w:szCs w:val="24"/>
        </w:rPr>
        <w:t>r</w:t>
      </w:r>
      <w:r w:rsidR="00DF25D1">
        <w:rPr>
          <w:rFonts w:ascii="Times New Roman" w:hAnsi="Times New Roman" w:cs="Times New Roman"/>
          <w:sz w:val="24"/>
          <w:szCs w:val="24"/>
        </w:rPr>
        <w:t xml:space="preserve"> Qualifikation </w:t>
      </w:r>
      <w:r w:rsidR="006C45D2">
        <w:rPr>
          <w:rFonts w:ascii="Times New Roman" w:hAnsi="Times New Roman" w:cs="Times New Roman"/>
          <w:sz w:val="24"/>
          <w:szCs w:val="24"/>
        </w:rPr>
        <w:t xml:space="preserve">der </w:t>
      </w:r>
      <w:r w:rsidR="00DF25D1">
        <w:rPr>
          <w:rFonts w:ascii="Times New Roman" w:hAnsi="Times New Roman" w:cs="Times New Roman"/>
          <w:sz w:val="24"/>
          <w:szCs w:val="24"/>
        </w:rPr>
        <w:t>Bewerber</w:t>
      </w:r>
      <w:r w:rsidR="006C45D2">
        <w:rPr>
          <w:rFonts w:ascii="Times New Roman" w:hAnsi="Times New Roman" w:cs="Times New Roman"/>
          <w:sz w:val="24"/>
          <w:szCs w:val="24"/>
        </w:rPr>
        <w:t>in</w:t>
      </w:r>
      <w:r w:rsidR="00B872B1">
        <w:rPr>
          <w:rFonts w:ascii="Times New Roman" w:hAnsi="Times New Roman" w:cs="Times New Roman"/>
          <w:sz w:val="24"/>
          <w:szCs w:val="24"/>
        </w:rPr>
        <w:t xml:space="preserve"> oder de</w:t>
      </w:r>
      <w:r w:rsidR="006C45D2">
        <w:rPr>
          <w:rFonts w:ascii="Times New Roman" w:hAnsi="Times New Roman" w:cs="Times New Roman"/>
          <w:sz w:val="24"/>
          <w:szCs w:val="24"/>
        </w:rPr>
        <w:t>s</w:t>
      </w:r>
      <w:r w:rsidR="00B872B1">
        <w:rPr>
          <w:rFonts w:ascii="Times New Roman" w:hAnsi="Times New Roman" w:cs="Times New Roman"/>
          <w:sz w:val="24"/>
          <w:szCs w:val="24"/>
        </w:rPr>
        <w:t xml:space="preserve"> </w:t>
      </w:r>
      <w:r w:rsidR="006C45D2">
        <w:rPr>
          <w:rFonts w:ascii="Times New Roman" w:hAnsi="Times New Roman" w:cs="Times New Roman"/>
          <w:sz w:val="24"/>
          <w:szCs w:val="24"/>
        </w:rPr>
        <w:t xml:space="preserve">Bewerbers </w:t>
      </w:r>
      <w:r w:rsidR="00DF25D1">
        <w:rPr>
          <w:rFonts w:ascii="Times New Roman" w:hAnsi="Times New Roman" w:cs="Times New Roman"/>
          <w:sz w:val="24"/>
          <w:szCs w:val="24"/>
        </w:rPr>
        <w:t xml:space="preserve">Stellung zu nehmen oder die Frage zu beurteilen, inwieweit </w:t>
      </w:r>
      <w:r w:rsidR="006C45D2">
        <w:rPr>
          <w:rFonts w:ascii="Times New Roman" w:hAnsi="Times New Roman" w:cs="Times New Roman"/>
          <w:sz w:val="24"/>
          <w:szCs w:val="24"/>
        </w:rPr>
        <w:t xml:space="preserve">ihre </w:t>
      </w:r>
      <w:r w:rsidR="00BF748D">
        <w:rPr>
          <w:rFonts w:ascii="Times New Roman" w:hAnsi="Times New Roman" w:cs="Times New Roman"/>
          <w:sz w:val="24"/>
          <w:szCs w:val="24"/>
        </w:rPr>
        <w:t xml:space="preserve">oder </w:t>
      </w:r>
      <w:r w:rsidR="006C45D2">
        <w:rPr>
          <w:rFonts w:ascii="Times New Roman" w:hAnsi="Times New Roman" w:cs="Times New Roman"/>
          <w:sz w:val="24"/>
          <w:szCs w:val="24"/>
        </w:rPr>
        <w:t xml:space="preserve">seine </w:t>
      </w:r>
      <w:r w:rsidR="00BF748D">
        <w:rPr>
          <w:rFonts w:ascii="Times New Roman" w:hAnsi="Times New Roman" w:cs="Times New Roman"/>
          <w:sz w:val="24"/>
          <w:szCs w:val="24"/>
        </w:rPr>
        <w:t>Qualifikation die Sch</w:t>
      </w:r>
      <w:r w:rsidR="00F21B54">
        <w:rPr>
          <w:rFonts w:ascii="Times New Roman" w:hAnsi="Times New Roman" w:cs="Times New Roman"/>
          <w:sz w:val="24"/>
          <w:szCs w:val="24"/>
        </w:rPr>
        <w:t>w</w:t>
      </w:r>
      <w:r w:rsidR="00BF748D">
        <w:rPr>
          <w:rFonts w:ascii="Times New Roman" w:hAnsi="Times New Roman" w:cs="Times New Roman"/>
          <w:sz w:val="24"/>
          <w:szCs w:val="24"/>
        </w:rPr>
        <w:t xml:space="preserve">erpunkte </w:t>
      </w:r>
      <w:r w:rsidR="00213112">
        <w:rPr>
          <w:rFonts w:ascii="Times New Roman" w:hAnsi="Times New Roman" w:cs="Times New Roman"/>
          <w:sz w:val="24"/>
          <w:szCs w:val="24"/>
        </w:rPr>
        <w:t>ihres</w:t>
      </w:r>
      <w:r w:rsidR="00BF748D">
        <w:rPr>
          <w:rFonts w:ascii="Times New Roman" w:hAnsi="Times New Roman" w:cs="Times New Roman"/>
          <w:sz w:val="24"/>
          <w:szCs w:val="24"/>
        </w:rPr>
        <w:t xml:space="preserve"> fachlichen Bereichs ergänzt oder verstärkt.</w:t>
      </w:r>
      <w:r w:rsidR="006E29D8">
        <w:rPr>
          <w:rFonts w:ascii="Times New Roman" w:hAnsi="Times New Roman" w:cs="Times New Roman"/>
          <w:sz w:val="24"/>
          <w:szCs w:val="24"/>
        </w:rPr>
        <w:t xml:space="preserve"> </w:t>
      </w:r>
      <w:r w:rsidR="008448DC">
        <w:rPr>
          <w:rFonts w:ascii="Times New Roman" w:hAnsi="Times New Roman" w:cs="Times New Roman"/>
          <w:sz w:val="24"/>
          <w:szCs w:val="24"/>
        </w:rPr>
        <w:t xml:space="preserve">Zieht die Rektorin oder </w:t>
      </w:r>
      <w:r w:rsidR="00CC234F">
        <w:rPr>
          <w:rFonts w:ascii="Times New Roman" w:hAnsi="Times New Roman" w:cs="Times New Roman"/>
          <w:sz w:val="24"/>
          <w:szCs w:val="24"/>
        </w:rPr>
        <w:t xml:space="preserve">der </w:t>
      </w:r>
      <w:r w:rsidR="008448DC">
        <w:rPr>
          <w:rFonts w:ascii="Times New Roman" w:hAnsi="Times New Roman" w:cs="Times New Roman"/>
          <w:sz w:val="24"/>
          <w:szCs w:val="24"/>
        </w:rPr>
        <w:t xml:space="preserve">Rektor Bewerber/innen mit unterschiedlicher fachlicher Ausrichtung zur Auswahl in Betracht, muss es bei der Anhörung </w:t>
      </w:r>
      <w:r w:rsidR="00100331">
        <w:rPr>
          <w:rFonts w:ascii="Times New Roman" w:hAnsi="Times New Roman" w:cs="Times New Roman"/>
          <w:sz w:val="24"/>
          <w:szCs w:val="24"/>
        </w:rPr>
        <w:t>ebenso wenig</w:t>
      </w:r>
      <w:r w:rsidR="008448DC">
        <w:rPr>
          <w:rFonts w:ascii="Times New Roman" w:hAnsi="Times New Roman" w:cs="Times New Roman"/>
          <w:sz w:val="24"/>
          <w:szCs w:val="24"/>
        </w:rPr>
        <w:t xml:space="preserve"> um einen Vergleich </w:t>
      </w:r>
      <w:r w:rsidR="00100331">
        <w:rPr>
          <w:rFonts w:ascii="Times New Roman" w:hAnsi="Times New Roman" w:cs="Times New Roman"/>
          <w:sz w:val="24"/>
          <w:szCs w:val="24"/>
        </w:rPr>
        <w:t>all dieser</w:t>
      </w:r>
      <w:r w:rsidR="008448DC">
        <w:rPr>
          <w:rFonts w:ascii="Times New Roman" w:hAnsi="Times New Roman" w:cs="Times New Roman"/>
          <w:sz w:val="24"/>
          <w:szCs w:val="24"/>
        </w:rPr>
        <w:t xml:space="preserve"> Bewerber/innen gehen. Sind Universitätsprofessor/inn/en mehrerer oder aller fachlichen Bereiche einer Universität anzuhören, ist es naheliegend, dass sich die Universitätsprofessor/inn/en auf die Bewerber/innen konzentrieren, die von ihrer jeweiligen fachlichen Expertise abgedeckt sind</w:t>
      </w:r>
      <w:r w:rsidR="00E70E88">
        <w:rPr>
          <w:rFonts w:ascii="Times New Roman" w:hAnsi="Times New Roman" w:cs="Times New Roman"/>
          <w:sz w:val="24"/>
          <w:szCs w:val="24"/>
        </w:rPr>
        <w:t xml:space="preserve">. </w:t>
      </w:r>
      <w:r w:rsidR="008448DC">
        <w:rPr>
          <w:rFonts w:ascii="Times New Roman" w:hAnsi="Times New Roman" w:cs="Times New Roman"/>
          <w:sz w:val="24"/>
          <w:szCs w:val="24"/>
        </w:rPr>
        <w:t>Bewerber/innen mit anderer fachlicher A</w:t>
      </w:r>
      <w:r w:rsidR="00E70E88">
        <w:rPr>
          <w:rFonts w:ascii="Times New Roman" w:hAnsi="Times New Roman" w:cs="Times New Roman"/>
          <w:sz w:val="24"/>
          <w:szCs w:val="24"/>
        </w:rPr>
        <w:t xml:space="preserve">usrichtung werden sie beispielsweise </w:t>
      </w:r>
      <w:r w:rsidR="00815A36">
        <w:rPr>
          <w:rFonts w:ascii="Times New Roman" w:hAnsi="Times New Roman" w:cs="Times New Roman"/>
          <w:sz w:val="24"/>
          <w:szCs w:val="24"/>
        </w:rPr>
        <w:t>darauf hin beurteilen können</w:t>
      </w:r>
      <w:r w:rsidR="00E70E88">
        <w:rPr>
          <w:rFonts w:ascii="Times New Roman" w:hAnsi="Times New Roman" w:cs="Times New Roman"/>
          <w:sz w:val="24"/>
          <w:szCs w:val="24"/>
        </w:rPr>
        <w:t xml:space="preserve">, inwieweit die Berufung der </w:t>
      </w:r>
      <w:r w:rsidR="00815A36">
        <w:rPr>
          <w:rFonts w:ascii="Times New Roman" w:hAnsi="Times New Roman" w:cs="Times New Roman"/>
          <w:sz w:val="24"/>
          <w:szCs w:val="24"/>
        </w:rPr>
        <w:t xml:space="preserve">jeweiligen </w:t>
      </w:r>
      <w:r w:rsidR="00E70E88">
        <w:rPr>
          <w:rFonts w:ascii="Times New Roman" w:hAnsi="Times New Roman" w:cs="Times New Roman"/>
          <w:sz w:val="24"/>
          <w:szCs w:val="24"/>
        </w:rPr>
        <w:t>Kandidat</w:t>
      </w:r>
      <w:r w:rsidR="00815A36">
        <w:rPr>
          <w:rFonts w:ascii="Times New Roman" w:hAnsi="Times New Roman" w:cs="Times New Roman"/>
          <w:sz w:val="24"/>
          <w:szCs w:val="24"/>
        </w:rPr>
        <w:t>/</w:t>
      </w:r>
      <w:r w:rsidR="00E70E88">
        <w:rPr>
          <w:rFonts w:ascii="Times New Roman" w:hAnsi="Times New Roman" w:cs="Times New Roman"/>
          <w:sz w:val="24"/>
          <w:szCs w:val="24"/>
        </w:rPr>
        <w:t>in</w:t>
      </w:r>
      <w:r w:rsidR="00815A36">
        <w:rPr>
          <w:rFonts w:ascii="Times New Roman" w:hAnsi="Times New Roman" w:cs="Times New Roman"/>
          <w:sz w:val="24"/>
          <w:szCs w:val="24"/>
        </w:rPr>
        <w:t>n/en</w:t>
      </w:r>
      <w:r w:rsidR="00E70E88">
        <w:rPr>
          <w:rFonts w:ascii="Times New Roman" w:hAnsi="Times New Roman" w:cs="Times New Roman"/>
          <w:sz w:val="24"/>
          <w:szCs w:val="24"/>
        </w:rPr>
        <w:t xml:space="preserve"> das Profil des eigenen fachlichen Bereichs sinnvoll ergänzen würde. </w:t>
      </w:r>
    </w:p>
    <w:p w14:paraId="141C1AA9" w14:textId="2F530F72" w:rsidR="00077D03" w:rsidRDefault="007037F0" w:rsidP="00213112">
      <w:pPr>
        <w:spacing w:line="360" w:lineRule="auto"/>
        <w:jc w:val="both"/>
        <w:rPr>
          <w:rFonts w:ascii="Times New Roman" w:hAnsi="Times New Roman" w:cs="Times New Roman"/>
          <w:sz w:val="24"/>
          <w:szCs w:val="24"/>
        </w:rPr>
      </w:pPr>
      <w:r w:rsidRPr="009F61A3">
        <w:rPr>
          <w:rFonts w:ascii="Times New Roman" w:hAnsi="Times New Roman" w:cs="Times New Roman"/>
          <w:sz w:val="24"/>
          <w:szCs w:val="24"/>
        </w:rPr>
        <w:t>Auch der Umstand, dass</w:t>
      </w:r>
      <w:r>
        <w:rPr>
          <w:rFonts w:ascii="Times New Roman" w:hAnsi="Times New Roman" w:cs="Times New Roman"/>
          <w:i/>
          <w:sz w:val="24"/>
          <w:szCs w:val="24"/>
        </w:rPr>
        <w:t xml:space="preserve"> </w:t>
      </w:r>
      <w:r w:rsidR="00BD0849">
        <w:rPr>
          <w:rFonts w:ascii="Times New Roman" w:hAnsi="Times New Roman" w:cs="Times New Roman"/>
          <w:sz w:val="24"/>
          <w:szCs w:val="24"/>
        </w:rPr>
        <w:t>§ 99 Abs 4 Satz 4 UG</w:t>
      </w:r>
      <w:r>
        <w:rPr>
          <w:rFonts w:ascii="Times New Roman" w:hAnsi="Times New Roman" w:cs="Times New Roman"/>
          <w:sz w:val="24"/>
          <w:szCs w:val="24"/>
        </w:rPr>
        <w:t xml:space="preserve"> voraussetzt, dass </w:t>
      </w:r>
      <w:r w:rsidRPr="009F61A3">
        <w:rPr>
          <w:rFonts w:ascii="Times New Roman" w:hAnsi="Times New Roman" w:cs="Times New Roman"/>
          <w:i/>
          <w:sz w:val="24"/>
          <w:szCs w:val="24"/>
        </w:rPr>
        <w:t>die Stelle</w:t>
      </w:r>
      <w:r>
        <w:rPr>
          <w:rFonts w:ascii="Times New Roman" w:hAnsi="Times New Roman" w:cs="Times New Roman"/>
          <w:sz w:val="24"/>
          <w:szCs w:val="24"/>
        </w:rPr>
        <w:t xml:space="preserve"> einem </w:t>
      </w:r>
      <w:r w:rsidR="00BD0849">
        <w:rPr>
          <w:rFonts w:ascii="Times New Roman" w:hAnsi="Times New Roman" w:cs="Times New Roman"/>
          <w:sz w:val="24"/>
          <w:szCs w:val="24"/>
        </w:rPr>
        <w:t>fachlichen Bereich der Universität</w:t>
      </w:r>
      <w:r w:rsidR="00B9498E">
        <w:rPr>
          <w:rFonts w:ascii="Times New Roman" w:hAnsi="Times New Roman" w:cs="Times New Roman"/>
          <w:sz w:val="24"/>
          <w:szCs w:val="24"/>
        </w:rPr>
        <w:t xml:space="preserve"> zugeordnet ist, </w:t>
      </w:r>
      <w:r w:rsidR="009F59E2">
        <w:rPr>
          <w:rFonts w:ascii="Times New Roman" w:hAnsi="Times New Roman" w:cs="Times New Roman"/>
          <w:sz w:val="24"/>
          <w:szCs w:val="24"/>
        </w:rPr>
        <w:t>schließt</w:t>
      </w:r>
      <w:r w:rsidR="00B9498E">
        <w:rPr>
          <w:rFonts w:ascii="Times New Roman" w:hAnsi="Times New Roman" w:cs="Times New Roman"/>
          <w:sz w:val="24"/>
          <w:szCs w:val="24"/>
        </w:rPr>
        <w:t xml:space="preserve"> </w:t>
      </w:r>
      <w:r w:rsidR="009F59E2">
        <w:rPr>
          <w:rFonts w:ascii="Times New Roman" w:hAnsi="Times New Roman" w:cs="Times New Roman"/>
          <w:sz w:val="24"/>
          <w:szCs w:val="24"/>
        </w:rPr>
        <w:t>nicht aus</w:t>
      </w:r>
      <w:r w:rsidR="00B9498E">
        <w:rPr>
          <w:rFonts w:ascii="Times New Roman" w:hAnsi="Times New Roman" w:cs="Times New Roman"/>
          <w:sz w:val="24"/>
          <w:szCs w:val="24"/>
        </w:rPr>
        <w:t xml:space="preserve">, dass </w:t>
      </w:r>
      <w:r w:rsidR="00C406E0">
        <w:rPr>
          <w:rFonts w:ascii="Times New Roman" w:hAnsi="Times New Roman" w:cs="Times New Roman"/>
          <w:sz w:val="24"/>
          <w:szCs w:val="24"/>
        </w:rPr>
        <w:t>sie</w:t>
      </w:r>
      <w:r w:rsidR="00BD0849">
        <w:rPr>
          <w:rFonts w:ascii="Times New Roman" w:hAnsi="Times New Roman" w:cs="Times New Roman"/>
          <w:sz w:val="24"/>
          <w:szCs w:val="24"/>
        </w:rPr>
        <w:t xml:space="preserve"> universitätsweit – ohne </w:t>
      </w:r>
      <w:r w:rsidR="00815A36">
        <w:rPr>
          <w:rFonts w:ascii="Times New Roman" w:hAnsi="Times New Roman" w:cs="Times New Roman"/>
          <w:sz w:val="24"/>
          <w:szCs w:val="24"/>
        </w:rPr>
        <w:t>spezifischen fachlichen Schwerpunkt</w:t>
      </w:r>
      <w:r w:rsidR="00BD0849">
        <w:rPr>
          <w:rFonts w:ascii="Times New Roman" w:hAnsi="Times New Roman" w:cs="Times New Roman"/>
          <w:sz w:val="24"/>
          <w:szCs w:val="24"/>
        </w:rPr>
        <w:t xml:space="preserve"> – ausgeschrieben werden </w:t>
      </w:r>
      <w:r w:rsidR="00B9498E">
        <w:rPr>
          <w:rFonts w:ascii="Times New Roman" w:hAnsi="Times New Roman" w:cs="Times New Roman"/>
          <w:sz w:val="24"/>
          <w:szCs w:val="24"/>
        </w:rPr>
        <w:t>darf</w:t>
      </w:r>
      <w:r w:rsidR="00BD0849">
        <w:rPr>
          <w:rStyle w:val="Funotenzeichen"/>
          <w:rFonts w:ascii="Times New Roman" w:hAnsi="Times New Roman" w:cs="Times New Roman"/>
          <w:sz w:val="24"/>
          <w:szCs w:val="24"/>
        </w:rPr>
        <w:footnoteReference w:id="46"/>
      </w:r>
      <w:r w:rsidR="00BD0849">
        <w:rPr>
          <w:rFonts w:ascii="Times New Roman" w:hAnsi="Times New Roman" w:cs="Times New Roman"/>
          <w:sz w:val="24"/>
          <w:szCs w:val="24"/>
        </w:rPr>
        <w:t xml:space="preserve">. </w:t>
      </w:r>
      <w:r w:rsidR="00CB7046" w:rsidRPr="00831019">
        <w:rPr>
          <w:rFonts w:ascii="Times New Roman" w:hAnsi="Times New Roman" w:cs="Times New Roman"/>
          <w:i/>
          <w:sz w:val="24"/>
          <w:szCs w:val="24"/>
        </w:rPr>
        <w:t>Perle</w:t>
      </w:r>
      <w:r w:rsidR="00CB7046">
        <w:rPr>
          <w:rFonts w:ascii="Times New Roman" w:hAnsi="Times New Roman" w:cs="Times New Roman"/>
          <w:sz w:val="24"/>
          <w:szCs w:val="24"/>
        </w:rPr>
        <w:t xml:space="preserve"> weist zutreffend darauf hin, dass für Stellen nach § 99 Abs 4 UG im Entwicklungsplan </w:t>
      </w:r>
      <w:r w:rsidR="00262A86">
        <w:rPr>
          <w:rFonts w:ascii="Times New Roman" w:hAnsi="Times New Roman" w:cs="Times New Roman"/>
          <w:sz w:val="24"/>
          <w:szCs w:val="24"/>
        </w:rPr>
        <w:t>k</w:t>
      </w:r>
      <w:r w:rsidR="00CB7046">
        <w:rPr>
          <w:rFonts w:ascii="Times New Roman" w:hAnsi="Times New Roman" w:cs="Times New Roman"/>
          <w:sz w:val="24"/>
          <w:szCs w:val="24"/>
        </w:rPr>
        <w:t>eine fachliche Widmung vorgesehen</w:t>
      </w:r>
      <w:r w:rsidR="00262A86">
        <w:rPr>
          <w:rFonts w:ascii="Times New Roman" w:hAnsi="Times New Roman" w:cs="Times New Roman"/>
          <w:sz w:val="24"/>
          <w:szCs w:val="24"/>
        </w:rPr>
        <w:t xml:space="preserve"> sein muss</w:t>
      </w:r>
      <w:r w:rsidR="00CB7046">
        <w:rPr>
          <w:rFonts w:ascii="Times New Roman" w:hAnsi="Times New Roman" w:cs="Times New Roman"/>
          <w:sz w:val="24"/>
          <w:szCs w:val="24"/>
        </w:rPr>
        <w:t xml:space="preserve">, </w:t>
      </w:r>
      <w:r w:rsidR="00262A86">
        <w:rPr>
          <w:rFonts w:ascii="Times New Roman" w:hAnsi="Times New Roman" w:cs="Times New Roman"/>
          <w:sz w:val="24"/>
          <w:szCs w:val="24"/>
        </w:rPr>
        <w:t>und dass sie</w:t>
      </w:r>
      <w:r w:rsidR="00CB7046">
        <w:rPr>
          <w:rFonts w:ascii="Times New Roman" w:hAnsi="Times New Roman" w:cs="Times New Roman"/>
          <w:sz w:val="24"/>
          <w:szCs w:val="24"/>
        </w:rPr>
        <w:t xml:space="preserve"> im Entwicklungsplan </w:t>
      </w:r>
      <w:r w:rsidR="00262A86">
        <w:rPr>
          <w:rFonts w:ascii="Times New Roman" w:hAnsi="Times New Roman" w:cs="Times New Roman"/>
          <w:sz w:val="24"/>
          <w:szCs w:val="24"/>
        </w:rPr>
        <w:t xml:space="preserve">auch nicht </w:t>
      </w:r>
      <w:r w:rsidR="00CB7046">
        <w:rPr>
          <w:rFonts w:ascii="Times New Roman" w:hAnsi="Times New Roman" w:cs="Times New Roman"/>
          <w:sz w:val="24"/>
          <w:szCs w:val="24"/>
        </w:rPr>
        <w:t>einem fachlichen Bereich zugeordnet sein müssen</w:t>
      </w:r>
      <w:r w:rsidR="009F61A3">
        <w:rPr>
          <w:rStyle w:val="Funotenzeichen"/>
          <w:rFonts w:ascii="Times New Roman" w:hAnsi="Times New Roman" w:cs="Times New Roman"/>
          <w:sz w:val="24"/>
          <w:szCs w:val="24"/>
        </w:rPr>
        <w:footnoteReference w:id="47"/>
      </w:r>
      <w:r w:rsidR="00CB7046">
        <w:rPr>
          <w:rFonts w:ascii="Times New Roman" w:hAnsi="Times New Roman" w:cs="Times New Roman"/>
          <w:sz w:val="24"/>
          <w:szCs w:val="24"/>
        </w:rPr>
        <w:t>.</w:t>
      </w:r>
      <w:r w:rsidR="00262A86">
        <w:rPr>
          <w:rFonts w:ascii="Times New Roman" w:hAnsi="Times New Roman" w:cs="Times New Roman"/>
          <w:sz w:val="24"/>
          <w:szCs w:val="24"/>
        </w:rPr>
        <w:t xml:space="preserve"> </w:t>
      </w:r>
      <w:r w:rsidR="00AF36EE">
        <w:rPr>
          <w:rFonts w:ascii="Times New Roman" w:hAnsi="Times New Roman" w:cs="Times New Roman"/>
          <w:sz w:val="24"/>
          <w:szCs w:val="24"/>
        </w:rPr>
        <w:t>D</w:t>
      </w:r>
      <w:r w:rsidR="00A45B28">
        <w:rPr>
          <w:rFonts w:ascii="Times New Roman" w:hAnsi="Times New Roman" w:cs="Times New Roman"/>
          <w:sz w:val="24"/>
          <w:szCs w:val="24"/>
        </w:rPr>
        <w:t xml:space="preserve">ie Zuordnung der Stelle zu einem fachlichen Bereich </w:t>
      </w:r>
      <w:r w:rsidR="00AF36EE">
        <w:rPr>
          <w:rFonts w:ascii="Times New Roman" w:hAnsi="Times New Roman" w:cs="Times New Roman"/>
          <w:sz w:val="24"/>
          <w:szCs w:val="24"/>
        </w:rPr>
        <w:t xml:space="preserve">ist </w:t>
      </w:r>
      <w:r w:rsidR="00815A36">
        <w:rPr>
          <w:rFonts w:ascii="Times New Roman" w:hAnsi="Times New Roman" w:cs="Times New Roman"/>
          <w:sz w:val="24"/>
          <w:szCs w:val="24"/>
        </w:rPr>
        <w:t>alleine</w:t>
      </w:r>
      <w:r w:rsidR="00A45B28">
        <w:rPr>
          <w:rFonts w:ascii="Times New Roman" w:hAnsi="Times New Roman" w:cs="Times New Roman"/>
          <w:sz w:val="24"/>
          <w:szCs w:val="24"/>
        </w:rPr>
        <w:t xml:space="preserve"> für Zwecke der Anhörung von Bedeutung.</w:t>
      </w:r>
      <w:r w:rsidR="00B9498E">
        <w:rPr>
          <w:rFonts w:ascii="Times New Roman" w:hAnsi="Times New Roman" w:cs="Times New Roman"/>
          <w:sz w:val="24"/>
          <w:szCs w:val="24"/>
        </w:rPr>
        <w:t xml:space="preserve"> </w:t>
      </w:r>
      <w:r w:rsidR="00A45B28">
        <w:rPr>
          <w:rFonts w:ascii="Times New Roman" w:hAnsi="Times New Roman" w:cs="Times New Roman"/>
          <w:sz w:val="24"/>
          <w:szCs w:val="24"/>
        </w:rPr>
        <w:t xml:space="preserve">Diese Zuordnung </w:t>
      </w:r>
      <w:r w:rsidR="00146454">
        <w:rPr>
          <w:rFonts w:ascii="Times New Roman" w:hAnsi="Times New Roman" w:cs="Times New Roman"/>
          <w:sz w:val="24"/>
          <w:szCs w:val="24"/>
        </w:rPr>
        <w:t>ist erforderlich</w:t>
      </w:r>
      <w:r w:rsidR="00C406E0">
        <w:rPr>
          <w:rFonts w:ascii="Times New Roman" w:hAnsi="Times New Roman" w:cs="Times New Roman"/>
          <w:sz w:val="24"/>
          <w:szCs w:val="24"/>
        </w:rPr>
        <w:t xml:space="preserve">, </w:t>
      </w:r>
      <w:r w:rsidR="00A45B28">
        <w:rPr>
          <w:rFonts w:ascii="Times New Roman" w:hAnsi="Times New Roman" w:cs="Times New Roman"/>
          <w:sz w:val="24"/>
          <w:szCs w:val="24"/>
        </w:rPr>
        <w:t xml:space="preserve">um </w:t>
      </w:r>
      <w:r w:rsidR="00C406E0">
        <w:rPr>
          <w:rFonts w:ascii="Times New Roman" w:hAnsi="Times New Roman" w:cs="Times New Roman"/>
          <w:sz w:val="24"/>
          <w:szCs w:val="24"/>
        </w:rPr>
        <w:t xml:space="preserve">die anzuhörenden Universitätsprofessor/inn/en zu </w:t>
      </w:r>
      <w:r w:rsidR="00146454">
        <w:rPr>
          <w:rFonts w:ascii="Times New Roman" w:hAnsi="Times New Roman" w:cs="Times New Roman"/>
          <w:sz w:val="24"/>
          <w:szCs w:val="24"/>
        </w:rPr>
        <w:t>bestimmen</w:t>
      </w:r>
      <w:r w:rsidR="00C406E0">
        <w:rPr>
          <w:rFonts w:ascii="Times New Roman" w:hAnsi="Times New Roman" w:cs="Times New Roman"/>
          <w:sz w:val="24"/>
          <w:szCs w:val="24"/>
        </w:rPr>
        <w:t xml:space="preserve">. </w:t>
      </w:r>
      <w:r w:rsidR="00815A36">
        <w:rPr>
          <w:rFonts w:ascii="Times New Roman" w:hAnsi="Times New Roman" w:cs="Times New Roman"/>
          <w:sz w:val="24"/>
          <w:szCs w:val="24"/>
        </w:rPr>
        <w:t xml:space="preserve">Ist daher eine Stelle mit einer spezifischen fachlichen </w:t>
      </w:r>
      <w:r w:rsidR="00146454">
        <w:rPr>
          <w:rFonts w:ascii="Times New Roman" w:hAnsi="Times New Roman" w:cs="Times New Roman"/>
          <w:sz w:val="24"/>
          <w:szCs w:val="24"/>
        </w:rPr>
        <w:t>Widmung innerhalb eine</w:t>
      </w:r>
      <w:r w:rsidR="000B7954">
        <w:rPr>
          <w:rFonts w:ascii="Times New Roman" w:hAnsi="Times New Roman" w:cs="Times New Roman"/>
          <w:sz w:val="24"/>
          <w:szCs w:val="24"/>
        </w:rPr>
        <w:t>s</w:t>
      </w:r>
      <w:r w:rsidR="00146454">
        <w:rPr>
          <w:rFonts w:ascii="Times New Roman" w:hAnsi="Times New Roman" w:cs="Times New Roman"/>
          <w:sz w:val="24"/>
          <w:szCs w:val="24"/>
        </w:rPr>
        <w:t xml:space="preserve"> fachlichen Bereichs oder für einen gesamten fachlichen Bereich ausgeschrieben, sodass innerhalb der dadurch eröffneten Bandbreite Bewerber/innen mit unterschiedlicher fachlicher Schwerpunktsetzung in Betracht kommen können, ist jedenfalls klar, dass die Universitätsprofessor/inn/en d</w:t>
      </w:r>
      <w:r w:rsidR="00AF36EE">
        <w:rPr>
          <w:rFonts w:ascii="Times New Roman" w:hAnsi="Times New Roman" w:cs="Times New Roman"/>
          <w:sz w:val="24"/>
          <w:szCs w:val="24"/>
        </w:rPr>
        <w:t>ies</w:t>
      </w:r>
      <w:r w:rsidR="00146454">
        <w:rPr>
          <w:rFonts w:ascii="Times New Roman" w:hAnsi="Times New Roman" w:cs="Times New Roman"/>
          <w:sz w:val="24"/>
          <w:szCs w:val="24"/>
        </w:rPr>
        <w:t xml:space="preserve">es fachlichen Bereichs anzuhören sind. </w:t>
      </w:r>
      <w:r w:rsidR="00410188">
        <w:rPr>
          <w:rFonts w:ascii="Times New Roman" w:hAnsi="Times New Roman" w:cs="Times New Roman"/>
          <w:sz w:val="24"/>
          <w:szCs w:val="24"/>
        </w:rPr>
        <w:t xml:space="preserve">Umfasst die Ausschreibung zwei oder mehrere fachliche Bereiche, lässt sich der Kreis der anzuhörenden Universitätsprofessor/inn/en aber ebenfalls bestimmen: Die Universitätsprofessor/inn/en der von der Ausschreibung umfassten fachlichen Bereiche haben das Recht zur Anhörung. Sind aufgrund der Ausschreibung Bewerbungen </w:t>
      </w:r>
      <w:r w:rsidR="00917FD0">
        <w:rPr>
          <w:rFonts w:ascii="Times New Roman" w:hAnsi="Times New Roman" w:cs="Times New Roman"/>
          <w:sz w:val="24"/>
          <w:szCs w:val="24"/>
        </w:rPr>
        <w:t>für</w:t>
      </w:r>
      <w:r w:rsidR="00410188">
        <w:rPr>
          <w:rFonts w:ascii="Times New Roman" w:hAnsi="Times New Roman" w:cs="Times New Roman"/>
          <w:sz w:val="24"/>
          <w:szCs w:val="24"/>
        </w:rPr>
        <w:t xml:space="preserve"> alle an der Universität vertretenen Fächer möglich, sind alle Universitätsprofessor/inn/en dieser Universität anzuhören. Die Stelle ist dann für Zwecke der Anhörung nach § 99 Abs 4 UG – und nur darum geht es – allen fachlichen Bereichen der Universität gemeinsam zugeordnet. </w:t>
      </w:r>
      <w:r w:rsidR="00077D03">
        <w:rPr>
          <w:rFonts w:ascii="Times New Roman" w:hAnsi="Times New Roman" w:cs="Times New Roman"/>
          <w:sz w:val="24"/>
          <w:szCs w:val="24"/>
        </w:rPr>
        <w:t xml:space="preserve">Der Zweck der Regelung, Stelle und fachlichen Bereich miteinander </w:t>
      </w:r>
      <w:r w:rsidR="00AF36EE">
        <w:rPr>
          <w:rFonts w:ascii="Times New Roman" w:hAnsi="Times New Roman" w:cs="Times New Roman"/>
          <w:sz w:val="24"/>
          <w:szCs w:val="24"/>
        </w:rPr>
        <w:t xml:space="preserve">zu </w:t>
      </w:r>
      <w:r w:rsidR="00077D03">
        <w:rPr>
          <w:rFonts w:ascii="Times New Roman" w:hAnsi="Times New Roman" w:cs="Times New Roman"/>
          <w:sz w:val="24"/>
          <w:szCs w:val="24"/>
        </w:rPr>
        <w:t>verknüpf</w:t>
      </w:r>
      <w:r w:rsidR="00AF36EE">
        <w:rPr>
          <w:rFonts w:ascii="Times New Roman" w:hAnsi="Times New Roman" w:cs="Times New Roman"/>
          <w:sz w:val="24"/>
          <w:szCs w:val="24"/>
        </w:rPr>
        <w:t>en</w:t>
      </w:r>
      <w:r w:rsidR="00077D03">
        <w:rPr>
          <w:rFonts w:ascii="Times New Roman" w:hAnsi="Times New Roman" w:cs="Times New Roman"/>
          <w:sz w:val="24"/>
          <w:szCs w:val="24"/>
        </w:rPr>
        <w:t xml:space="preserve">, </w:t>
      </w:r>
      <w:r w:rsidR="00917FD0">
        <w:rPr>
          <w:rFonts w:ascii="Times New Roman" w:hAnsi="Times New Roman" w:cs="Times New Roman"/>
          <w:sz w:val="24"/>
          <w:szCs w:val="24"/>
        </w:rPr>
        <w:t xml:space="preserve">um die anzuhörenden Universitätsprofessor/inn/en bestimmen zu können, </w:t>
      </w:r>
      <w:r w:rsidR="00077D03">
        <w:rPr>
          <w:rFonts w:ascii="Times New Roman" w:hAnsi="Times New Roman" w:cs="Times New Roman"/>
          <w:sz w:val="24"/>
          <w:szCs w:val="24"/>
        </w:rPr>
        <w:t xml:space="preserve">ist </w:t>
      </w:r>
      <w:r w:rsidR="00917FD0">
        <w:rPr>
          <w:rFonts w:ascii="Times New Roman" w:hAnsi="Times New Roman" w:cs="Times New Roman"/>
          <w:sz w:val="24"/>
          <w:szCs w:val="24"/>
        </w:rPr>
        <w:t>in all diesen Fällen</w:t>
      </w:r>
      <w:r w:rsidR="00077D03">
        <w:rPr>
          <w:rFonts w:ascii="Times New Roman" w:hAnsi="Times New Roman" w:cs="Times New Roman"/>
          <w:sz w:val="24"/>
          <w:szCs w:val="24"/>
        </w:rPr>
        <w:t xml:space="preserve"> erfüllt. </w:t>
      </w:r>
      <w:r w:rsidR="00917FD0">
        <w:rPr>
          <w:rFonts w:ascii="Times New Roman" w:hAnsi="Times New Roman" w:cs="Times New Roman"/>
          <w:sz w:val="24"/>
          <w:szCs w:val="24"/>
        </w:rPr>
        <w:t xml:space="preserve">Von der Zuordnung der Stelle zu einem fachlichen </w:t>
      </w:r>
      <w:r w:rsidR="00AF36EE">
        <w:rPr>
          <w:rFonts w:ascii="Times New Roman" w:hAnsi="Times New Roman" w:cs="Times New Roman"/>
          <w:sz w:val="24"/>
          <w:szCs w:val="24"/>
        </w:rPr>
        <w:t xml:space="preserve">Bereich </w:t>
      </w:r>
      <w:r w:rsidR="00917FD0">
        <w:rPr>
          <w:rFonts w:ascii="Times New Roman" w:hAnsi="Times New Roman" w:cs="Times New Roman"/>
          <w:sz w:val="24"/>
          <w:szCs w:val="24"/>
        </w:rPr>
        <w:t>nach § 99 Abs 4 UG ist dann</w:t>
      </w:r>
      <w:r w:rsidR="00AF36EE">
        <w:rPr>
          <w:rFonts w:ascii="Times New Roman" w:hAnsi="Times New Roman" w:cs="Times New Roman"/>
          <w:sz w:val="24"/>
          <w:szCs w:val="24"/>
        </w:rPr>
        <w:t xml:space="preserve"> die Zuordnung von Universitätsangehörigen nach § 22 Abs 1 Z 7 UG zu einer Organisationseinheit zu unterscheiden</w:t>
      </w:r>
      <w:r w:rsidR="005E0EEE">
        <w:rPr>
          <w:rFonts w:ascii="Times New Roman" w:hAnsi="Times New Roman" w:cs="Times New Roman"/>
          <w:sz w:val="24"/>
          <w:szCs w:val="24"/>
        </w:rPr>
        <w:t>:</w:t>
      </w:r>
      <w:r w:rsidR="00AF36EE">
        <w:rPr>
          <w:rFonts w:ascii="Times New Roman" w:hAnsi="Times New Roman" w:cs="Times New Roman"/>
          <w:sz w:val="24"/>
          <w:szCs w:val="24"/>
        </w:rPr>
        <w:t xml:space="preserve"> Ist </w:t>
      </w:r>
      <w:r w:rsidR="005E0EEE">
        <w:rPr>
          <w:rFonts w:ascii="Times New Roman" w:hAnsi="Times New Roman" w:cs="Times New Roman"/>
          <w:sz w:val="24"/>
          <w:szCs w:val="24"/>
        </w:rPr>
        <w:t>das</w:t>
      </w:r>
      <w:r w:rsidR="00AF36EE">
        <w:rPr>
          <w:rFonts w:ascii="Times New Roman" w:hAnsi="Times New Roman" w:cs="Times New Roman"/>
          <w:sz w:val="24"/>
          <w:szCs w:val="24"/>
        </w:rPr>
        <w:t xml:space="preserve"> Auswahl</w:t>
      </w:r>
      <w:r w:rsidR="005E0EEE">
        <w:rPr>
          <w:rFonts w:ascii="Times New Roman" w:hAnsi="Times New Roman" w:cs="Times New Roman"/>
          <w:sz w:val="24"/>
          <w:szCs w:val="24"/>
        </w:rPr>
        <w:t>verfahren</w:t>
      </w:r>
      <w:r w:rsidR="00AF36EE">
        <w:rPr>
          <w:rFonts w:ascii="Times New Roman" w:hAnsi="Times New Roman" w:cs="Times New Roman"/>
          <w:sz w:val="24"/>
          <w:szCs w:val="24"/>
        </w:rPr>
        <w:t xml:space="preserve"> für eine mehreren fachlichen Bereichen zugeordnete Stelle abgeschlossen, braucht das Rektorat die Person dennoch nur einer einzigen Organisationseinheit zuordnen.</w:t>
      </w:r>
      <w:r w:rsidR="00917FD0">
        <w:rPr>
          <w:rFonts w:ascii="Times New Roman" w:hAnsi="Times New Roman" w:cs="Times New Roman"/>
          <w:sz w:val="24"/>
          <w:szCs w:val="24"/>
        </w:rPr>
        <w:t xml:space="preserve">  </w:t>
      </w:r>
    </w:p>
    <w:p w14:paraId="2C20B526" w14:textId="3ADCCDED" w:rsidR="00AA2466" w:rsidRDefault="00262A86" w:rsidP="002131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554BA60" w14:textId="77777777" w:rsidR="004575C4" w:rsidRPr="00F83C30" w:rsidRDefault="00711DEE" w:rsidP="00D475AC">
      <w:pPr>
        <w:pStyle w:val="Listenabsatz"/>
        <w:numPr>
          <w:ilvl w:val="0"/>
          <w:numId w:val="1"/>
        </w:numPr>
        <w:spacing w:line="360" w:lineRule="auto"/>
        <w:jc w:val="both"/>
        <w:rPr>
          <w:rFonts w:ascii="Times New Roman" w:hAnsi="Times New Roman" w:cs="Times New Roman"/>
          <w:b/>
          <w:sz w:val="24"/>
          <w:szCs w:val="24"/>
          <w:lang w:val="de-DE"/>
        </w:rPr>
      </w:pPr>
      <w:r w:rsidRPr="00F83C30">
        <w:rPr>
          <w:rFonts w:ascii="Times New Roman" w:hAnsi="Times New Roman" w:cs="Times New Roman"/>
          <w:b/>
          <w:sz w:val="24"/>
          <w:szCs w:val="24"/>
          <w:lang w:val="de-DE"/>
        </w:rPr>
        <w:t xml:space="preserve">Die Festlegung </w:t>
      </w:r>
      <w:r w:rsidR="004575C4" w:rsidRPr="00F83C30">
        <w:rPr>
          <w:rFonts w:ascii="Times New Roman" w:hAnsi="Times New Roman" w:cs="Times New Roman"/>
          <w:b/>
          <w:sz w:val="24"/>
          <w:szCs w:val="24"/>
          <w:lang w:val="de-DE"/>
        </w:rPr>
        <w:t>näherer Bestimmungen durch die Satzung</w:t>
      </w:r>
    </w:p>
    <w:p w14:paraId="2554BA61" w14:textId="07ACD925" w:rsidR="00CC0B09" w:rsidRDefault="00CC0B09" w:rsidP="00817BC9">
      <w:pPr>
        <w:spacing w:line="360" w:lineRule="auto"/>
        <w:jc w:val="both"/>
        <w:rPr>
          <w:rFonts w:ascii="Times New Roman" w:hAnsi="Times New Roman" w:cs="Times New Roman"/>
          <w:sz w:val="24"/>
          <w:szCs w:val="24"/>
        </w:rPr>
      </w:pPr>
      <w:r w:rsidRPr="00CC0B09">
        <w:rPr>
          <w:rFonts w:ascii="Times New Roman" w:hAnsi="Times New Roman" w:cs="Times New Roman"/>
          <w:sz w:val="24"/>
          <w:szCs w:val="24"/>
        </w:rPr>
        <w:t>Nach § 99 Abs 4 letzter Satz UG sind nähere Bestimmungen</w:t>
      </w:r>
      <w:r>
        <w:rPr>
          <w:rFonts w:ascii="Times New Roman" w:hAnsi="Times New Roman" w:cs="Times New Roman"/>
          <w:sz w:val="24"/>
          <w:szCs w:val="24"/>
        </w:rPr>
        <w:t xml:space="preserve"> </w:t>
      </w:r>
      <w:r w:rsidRPr="00CC0B09">
        <w:rPr>
          <w:rFonts w:ascii="Times New Roman" w:hAnsi="Times New Roman" w:cs="Times New Roman"/>
          <w:sz w:val="24"/>
          <w:szCs w:val="24"/>
        </w:rPr>
        <w:t>in der Satzung festzulegen. Diese Vorschrift</w:t>
      </w:r>
      <w:r>
        <w:rPr>
          <w:rFonts w:ascii="Times New Roman" w:hAnsi="Times New Roman" w:cs="Times New Roman"/>
          <w:sz w:val="24"/>
          <w:szCs w:val="24"/>
        </w:rPr>
        <w:t xml:space="preserve"> </w:t>
      </w:r>
      <w:r w:rsidRPr="00CC0B09">
        <w:rPr>
          <w:rFonts w:ascii="Times New Roman" w:hAnsi="Times New Roman" w:cs="Times New Roman"/>
          <w:sz w:val="24"/>
          <w:szCs w:val="24"/>
        </w:rPr>
        <w:t>unterscheidet sich damit sowohl von den Regelungen</w:t>
      </w:r>
      <w:r>
        <w:rPr>
          <w:rFonts w:ascii="Times New Roman" w:hAnsi="Times New Roman" w:cs="Times New Roman"/>
          <w:sz w:val="24"/>
          <w:szCs w:val="24"/>
        </w:rPr>
        <w:t xml:space="preserve"> </w:t>
      </w:r>
      <w:r w:rsidRPr="00CC0B09">
        <w:rPr>
          <w:rFonts w:ascii="Times New Roman" w:hAnsi="Times New Roman" w:cs="Times New Roman"/>
          <w:sz w:val="24"/>
          <w:szCs w:val="24"/>
        </w:rPr>
        <w:t xml:space="preserve">über </w:t>
      </w:r>
      <w:r w:rsidR="00AA74D1" w:rsidRPr="00CC0B09">
        <w:rPr>
          <w:rFonts w:ascii="Times New Roman" w:hAnsi="Times New Roman" w:cs="Times New Roman"/>
          <w:sz w:val="24"/>
          <w:szCs w:val="24"/>
        </w:rPr>
        <w:t>d</w:t>
      </w:r>
      <w:r w:rsidR="00AA74D1">
        <w:rPr>
          <w:rFonts w:ascii="Times New Roman" w:hAnsi="Times New Roman" w:cs="Times New Roman"/>
          <w:sz w:val="24"/>
          <w:szCs w:val="24"/>
        </w:rPr>
        <w:t>ie</w:t>
      </w:r>
      <w:r w:rsidR="00AA74D1" w:rsidRPr="00CC0B09">
        <w:rPr>
          <w:rFonts w:ascii="Times New Roman" w:hAnsi="Times New Roman" w:cs="Times New Roman"/>
          <w:sz w:val="24"/>
          <w:szCs w:val="24"/>
        </w:rPr>
        <w:t xml:space="preserve"> </w:t>
      </w:r>
      <w:r w:rsidRPr="00CC0B09">
        <w:rPr>
          <w:rFonts w:ascii="Times New Roman" w:hAnsi="Times New Roman" w:cs="Times New Roman"/>
          <w:sz w:val="24"/>
          <w:szCs w:val="24"/>
        </w:rPr>
        <w:t>abgekürzte</w:t>
      </w:r>
      <w:r w:rsidR="00AA74D1">
        <w:rPr>
          <w:rFonts w:ascii="Times New Roman" w:hAnsi="Times New Roman" w:cs="Times New Roman"/>
          <w:sz w:val="24"/>
          <w:szCs w:val="24"/>
        </w:rPr>
        <w:t>n</w:t>
      </w:r>
      <w:r w:rsidRPr="00CC0B09">
        <w:rPr>
          <w:rFonts w:ascii="Times New Roman" w:hAnsi="Times New Roman" w:cs="Times New Roman"/>
          <w:sz w:val="24"/>
          <w:szCs w:val="24"/>
        </w:rPr>
        <w:t xml:space="preserve"> Berufungsverfahren nach § 99</w:t>
      </w:r>
      <w:r>
        <w:rPr>
          <w:rFonts w:ascii="Times New Roman" w:hAnsi="Times New Roman" w:cs="Times New Roman"/>
          <w:sz w:val="24"/>
          <w:szCs w:val="24"/>
        </w:rPr>
        <w:t xml:space="preserve"> </w:t>
      </w:r>
      <w:r w:rsidRPr="00CC0B09">
        <w:rPr>
          <w:rFonts w:ascii="Times New Roman" w:hAnsi="Times New Roman" w:cs="Times New Roman"/>
          <w:sz w:val="24"/>
          <w:szCs w:val="24"/>
        </w:rPr>
        <w:t xml:space="preserve">Abs </w:t>
      </w:r>
      <w:r>
        <w:rPr>
          <w:rFonts w:ascii="Times New Roman" w:hAnsi="Times New Roman" w:cs="Times New Roman"/>
          <w:sz w:val="24"/>
          <w:szCs w:val="24"/>
        </w:rPr>
        <w:t xml:space="preserve">1 und nach § 99 Abs </w:t>
      </w:r>
      <w:r w:rsidRPr="00CC0B09">
        <w:rPr>
          <w:rFonts w:ascii="Times New Roman" w:hAnsi="Times New Roman" w:cs="Times New Roman"/>
          <w:sz w:val="24"/>
          <w:szCs w:val="24"/>
        </w:rPr>
        <w:t>3 UG als auch von dem in § 99 Abs 5 und 6 UG geregelten</w:t>
      </w:r>
      <w:r>
        <w:rPr>
          <w:rFonts w:ascii="Times New Roman" w:hAnsi="Times New Roman" w:cs="Times New Roman"/>
          <w:sz w:val="24"/>
          <w:szCs w:val="24"/>
        </w:rPr>
        <w:t xml:space="preserve"> </w:t>
      </w:r>
      <w:r w:rsidRPr="00CC0B09">
        <w:rPr>
          <w:rFonts w:ascii="Times New Roman" w:hAnsi="Times New Roman" w:cs="Times New Roman"/>
          <w:sz w:val="24"/>
          <w:szCs w:val="24"/>
        </w:rPr>
        <w:t>„Tenure Track“-Modell für Assoziierte Professor/inn/en. In diesen anderen Vorschriften findet sich</w:t>
      </w:r>
      <w:r>
        <w:rPr>
          <w:rFonts w:ascii="Times New Roman" w:hAnsi="Times New Roman" w:cs="Times New Roman"/>
          <w:sz w:val="24"/>
          <w:szCs w:val="24"/>
        </w:rPr>
        <w:t xml:space="preserve"> </w:t>
      </w:r>
      <w:r w:rsidRPr="00CC0B09">
        <w:rPr>
          <w:rFonts w:ascii="Times New Roman" w:hAnsi="Times New Roman" w:cs="Times New Roman"/>
          <w:sz w:val="24"/>
          <w:szCs w:val="24"/>
        </w:rPr>
        <w:t>kein ausdrücklicher Hinweis auf die Satzung. § 99 Abs 4</w:t>
      </w:r>
      <w:r>
        <w:rPr>
          <w:rFonts w:ascii="Times New Roman" w:hAnsi="Times New Roman" w:cs="Times New Roman"/>
          <w:sz w:val="24"/>
          <w:szCs w:val="24"/>
        </w:rPr>
        <w:t xml:space="preserve"> </w:t>
      </w:r>
      <w:r w:rsidRPr="00CC0B09">
        <w:rPr>
          <w:rFonts w:ascii="Times New Roman" w:hAnsi="Times New Roman" w:cs="Times New Roman"/>
          <w:sz w:val="24"/>
          <w:szCs w:val="24"/>
        </w:rPr>
        <w:t>UG determiniert das Verfahren</w:t>
      </w:r>
      <w:r>
        <w:rPr>
          <w:rFonts w:ascii="Times New Roman" w:hAnsi="Times New Roman" w:cs="Times New Roman"/>
          <w:sz w:val="24"/>
          <w:szCs w:val="24"/>
        </w:rPr>
        <w:t xml:space="preserve"> weitgehend</w:t>
      </w:r>
      <w:r w:rsidRPr="00CC0B09">
        <w:rPr>
          <w:rFonts w:ascii="Times New Roman" w:hAnsi="Times New Roman" w:cs="Times New Roman"/>
          <w:sz w:val="24"/>
          <w:szCs w:val="24"/>
        </w:rPr>
        <w:t>, nach dem die Universitätsprofessor/inn/en berufen werden können</w:t>
      </w:r>
      <w:r>
        <w:rPr>
          <w:rFonts w:ascii="Times New Roman" w:hAnsi="Times New Roman" w:cs="Times New Roman"/>
          <w:sz w:val="24"/>
          <w:szCs w:val="24"/>
        </w:rPr>
        <w:t xml:space="preserve">. Wir haben daher an anderer Stelle </w:t>
      </w:r>
      <w:r w:rsidR="004D7012">
        <w:rPr>
          <w:rFonts w:ascii="Times New Roman" w:hAnsi="Times New Roman" w:cs="Times New Roman"/>
          <w:sz w:val="24"/>
          <w:szCs w:val="24"/>
        </w:rPr>
        <w:t xml:space="preserve">schon </w:t>
      </w:r>
      <w:r>
        <w:rPr>
          <w:rFonts w:ascii="Times New Roman" w:hAnsi="Times New Roman" w:cs="Times New Roman"/>
          <w:sz w:val="24"/>
          <w:szCs w:val="24"/>
        </w:rPr>
        <w:t xml:space="preserve">darauf hingewiesen, </w:t>
      </w:r>
      <w:r w:rsidRPr="00CC0B09">
        <w:rPr>
          <w:rFonts w:ascii="Times New Roman" w:hAnsi="Times New Roman" w:cs="Times New Roman"/>
          <w:sz w:val="24"/>
          <w:szCs w:val="24"/>
        </w:rPr>
        <w:t>dass diese Vorschrift bereits als ausreichende</w:t>
      </w:r>
      <w:r>
        <w:rPr>
          <w:rFonts w:ascii="Times New Roman" w:hAnsi="Times New Roman" w:cs="Times New Roman"/>
          <w:sz w:val="24"/>
          <w:szCs w:val="24"/>
        </w:rPr>
        <w:t xml:space="preserve"> </w:t>
      </w:r>
      <w:r w:rsidRPr="00CC0B09">
        <w:rPr>
          <w:rFonts w:ascii="Times New Roman" w:hAnsi="Times New Roman" w:cs="Times New Roman"/>
          <w:sz w:val="24"/>
          <w:szCs w:val="24"/>
        </w:rPr>
        <w:t>Grundlage angesehen werden kann, um die dort vorgesehenen</w:t>
      </w:r>
      <w:r>
        <w:rPr>
          <w:rFonts w:ascii="Times New Roman" w:hAnsi="Times New Roman" w:cs="Times New Roman"/>
          <w:sz w:val="24"/>
          <w:szCs w:val="24"/>
        </w:rPr>
        <w:t xml:space="preserve"> </w:t>
      </w:r>
      <w:r w:rsidRPr="00CC0B09">
        <w:rPr>
          <w:rFonts w:ascii="Times New Roman" w:hAnsi="Times New Roman" w:cs="Times New Roman"/>
          <w:sz w:val="24"/>
          <w:szCs w:val="24"/>
        </w:rPr>
        <w:t>Verfahren durchzuführen. Für Zwecke des § 99</w:t>
      </w:r>
      <w:r>
        <w:rPr>
          <w:rFonts w:ascii="Times New Roman" w:hAnsi="Times New Roman" w:cs="Times New Roman"/>
          <w:sz w:val="24"/>
          <w:szCs w:val="24"/>
        </w:rPr>
        <w:t xml:space="preserve"> </w:t>
      </w:r>
      <w:r w:rsidRPr="00CC0B09">
        <w:rPr>
          <w:rFonts w:ascii="Times New Roman" w:hAnsi="Times New Roman" w:cs="Times New Roman"/>
          <w:sz w:val="24"/>
          <w:szCs w:val="24"/>
        </w:rPr>
        <w:t xml:space="preserve">Abs 4 UG ist aus diesem Hinweis im letzten Satz </w:t>
      </w:r>
      <w:r>
        <w:rPr>
          <w:rFonts w:ascii="Times New Roman" w:hAnsi="Times New Roman" w:cs="Times New Roman"/>
          <w:sz w:val="24"/>
          <w:szCs w:val="24"/>
        </w:rPr>
        <w:t>demnach</w:t>
      </w:r>
      <w:r w:rsidRPr="00CC0B09">
        <w:rPr>
          <w:rFonts w:ascii="Times New Roman" w:hAnsi="Times New Roman" w:cs="Times New Roman"/>
          <w:sz w:val="24"/>
          <w:szCs w:val="24"/>
        </w:rPr>
        <w:t xml:space="preserve"> nicht zu schließen, dass Satzungsregeln unbedingt</w:t>
      </w:r>
      <w:r>
        <w:rPr>
          <w:rFonts w:ascii="Times New Roman" w:hAnsi="Times New Roman" w:cs="Times New Roman"/>
          <w:sz w:val="24"/>
          <w:szCs w:val="24"/>
        </w:rPr>
        <w:t xml:space="preserve"> </w:t>
      </w:r>
      <w:r w:rsidRPr="00CC0B09">
        <w:rPr>
          <w:rFonts w:ascii="Times New Roman" w:hAnsi="Times New Roman" w:cs="Times New Roman"/>
          <w:sz w:val="24"/>
          <w:szCs w:val="24"/>
        </w:rPr>
        <w:t>erforderlich sind und dass vereinfachte Verfahren nach</w:t>
      </w:r>
      <w:r>
        <w:rPr>
          <w:rFonts w:ascii="Times New Roman" w:hAnsi="Times New Roman" w:cs="Times New Roman"/>
          <w:sz w:val="24"/>
          <w:szCs w:val="24"/>
        </w:rPr>
        <w:t xml:space="preserve"> </w:t>
      </w:r>
      <w:r w:rsidRPr="00CC0B09">
        <w:rPr>
          <w:rFonts w:ascii="Times New Roman" w:hAnsi="Times New Roman" w:cs="Times New Roman"/>
          <w:sz w:val="24"/>
          <w:szCs w:val="24"/>
        </w:rPr>
        <w:t>§ 99 Abs 4 UG etwa ohne die Erlassung näherer Bestimmungen</w:t>
      </w:r>
      <w:r>
        <w:rPr>
          <w:rFonts w:ascii="Times New Roman" w:hAnsi="Times New Roman" w:cs="Times New Roman"/>
          <w:sz w:val="24"/>
          <w:szCs w:val="24"/>
        </w:rPr>
        <w:t xml:space="preserve"> </w:t>
      </w:r>
      <w:r w:rsidRPr="00CC0B09">
        <w:rPr>
          <w:rFonts w:ascii="Times New Roman" w:hAnsi="Times New Roman" w:cs="Times New Roman"/>
          <w:sz w:val="24"/>
          <w:szCs w:val="24"/>
        </w:rPr>
        <w:t>in der Satzung gar nicht durchgeführt werden</w:t>
      </w:r>
      <w:r>
        <w:rPr>
          <w:rFonts w:ascii="Times New Roman" w:hAnsi="Times New Roman" w:cs="Times New Roman"/>
          <w:sz w:val="24"/>
          <w:szCs w:val="24"/>
        </w:rPr>
        <w:t xml:space="preserve"> </w:t>
      </w:r>
      <w:r w:rsidRPr="00CC0B09">
        <w:rPr>
          <w:rFonts w:ascii="Times New Roman" w:hAnsi="Times New Roman" w:cs="Times New Roman"/>
          <w:sz w:val="24"/>
          <w:szCs w:val="24"/>
        </w:rPr>
        <w:t>könnten</w:t>
      </w:r>
      <w:r w:rsidR="00966E13">
        <w:rPr>
          <w:rStyle w:val="Funotenzeichen"/>
          <w:rFonts w:ascii="Times New Roman" w:hAnsi="Times New Roman" w:cs="Times New Roman"/>
          <w:sz w:val="24"/>
          <w:szCs w:val="24"/>
        </w:rPr>
        <w:footnoteReference w:id="48"/>
      </w:r>
      <w:r w:rsidRPr="00CC0B09">
        <w:rPr>
          <w:rFonts w:ascii="Times New Roman" w:hAnsi="Times New Roman" w:cs="Times New Roman"/>
          <w:sz w:val="24"/>
          <w:szCs w:val="24"/>
        </w:rPr>
        <w:t>. Die Erlassung von Satzungsbestimmungen ist</w:t>
      </w:r>
      <w:r>
        <w:rPr>
          <w:rFonts w:ascii="Times New Roman" w:hAnsi="Times New Roman" w:cs="Times New Roman"/>
          <w:sz w:val="24"/>
          <w:szCs w:val="24"/>
        </w:rPr>
        <w:t xml:space="preserve"> </w:t>
      </w:r>
      <w:r w:rsidRPr="00CC0B09">
        <w:rPr>
          <w:rFonts w:ascii="Times New Roman" w:hAnsi="Times New Roman" w:cs="Times New Roman"/>
          <w:sz w:val="24"/>
          <w:szCs w:val="24"/>
        </w:rPr>
        <w:t>kein Selbstzweck. Erachtet allerdings eine Universität</w:t>
      </w:r>
      <w:r>
        <w:rPr>
          <w:rFonts w:ascii="Times New Roman" w:hAnsi="Times New Roman" w:cs="Times New Roman"/>
          <w:sz w:val="24"/>
          <w:szCs w:val="24"/>
        </w:rPr>
        <w:t xml:space="preserve"> </w:t>
      </w:r>
      <w:r w:rsidRPr="00CC0B09">
        <w:rPr>
          <w:rFonts w:ascii="Times New Roman" w:hAnsi="Times New Roman" w:cs="Times New Roman"/>
          <w:sz w:val="24"/>
          <w:szCs w:val="24"/>
        </w:rPr>
        <w:t>nähere Bestimmungen für erforderlich oder zumindest</w:t>
      </w:r>
      <w:r>
        <w:rPr>
          <w:rFonts w:ascii="Times New Roman" w:hAnsi="Times New Roman" w:cs="Times New Roman"/>
          <w:sz w:val="24"/>
          <w:szCs w:val="24"/>
        </w:rPr>
        <w:t xml:space="preserve"> </w:t>
      </w:r>
      <w:r w:rsidRPr="00CC0B09">
        <w:rPr>
          <w:rFonts w:ascii="Times New Roman" w:hAnsi="Times New Roman" w:cs="Times New Roman"/>
          <w:sz w:val="24"/>
          <w:szCs w:val="24"/>
        </w:rPr>
        <w:t>für sinnvoll, bedarf es dazu einer Regelung</w:t>
      </w:r>
      <w:r>
        <w:rPr>
          <w:rFonts w:ascii="Times New Roman" w:hAnsi="Times New Roman" w:cs="Times New Roman"/>
          <w:sz w:val="24"/>
          <w:szCs w:val="24"/>
        </w:rPr>
        <w:t xml:space="preserve"> </w:t>
      </w:r>
      <w:r w:rsidRPr="00CC0B09">
        <w:rPr>
          <w:rFonts w:ascii="Times New Roman" w:hAnsi="Times New Roman" w:cs="Times New Roman"/>
          <w:sz w:val="24"/>
          <w:szCs w:val="24"/>
        </w:rPr>
        <w:t>in der Satzung</w:t>
      </w:r>
      <w:r w:rsidR="00EB7058">
        <w:rPr>
          <w:rFonts w:ascii="Times New Roman" w:hAnsi="Times New Roman" w:cs="Times New Roman"/>
          <w:sz w:val="24"/>
          <w:szCs w:val="24"/>
        </w:rPr>
        <w:t>.</w:t>
      </w:r>
      <w:r w:rsidRPr="00CC0B09">
        <w:rPr>
          <w:rFonts w:ascii="Times New Roman" w:hAnsi="Times New Roman" w:cs="Times New Roman"/>
          <w:sz w:val="24"/>
          <w:szCs w:val="24"/>
        </w:rPr>
        <w:t xml:space="preserve"> Darauf bezieht sich die verpflichtende</w:t>
      </w:r>
      <w:r>
        <w:rPr>
          <w:rFonts w:ascii="Times New Roman" w:hAnsi="Times New Roman" w:cs="Times New Roman"/>
          <w:sz w:val="24"/>
          <w:szCs w:val="24"/>
        </w:rPr>
        <w:t xml:space="preserve"> </w:t>
      </w:r>
      <w:r w:rsidRPr="00CC0B09">
        <w:rPr>
          <w:rFonts w:ascii="Times New Roman" w:hAnsi="Times New Roman" w:cs="Times New Roman"/>
          <w:sz w:val="24"/>
          <w:szCs w:val="24"/>
        </w:rPr>
        <w:t>Anordnung: Solche Regelungen „sind“ dann</w:t>
      </w:r>
      <w:r>
        <w:rPr>
          <w:rFonts w:ascii="Times New Roman" w:hAnsi="Times New Roman" w:cs="Times New Roman"/>
          <w:sz w:val="24"/>
          <w:szCs w:val="24"/>
        </w:rPr>
        <w:t xml:space="preserve"> </w:t>
      </w:r>
      <w:r w:rsidRPr="00CC0B09">
        <w:rPr>
          <w:rFonts w:ascii="Times New Roman" w:hAnsi="Times New Roman" w:cs="Times New Roman"/>
          <w:sz w:val="24"/>
          <w:szCs w:val="24"/>
        </w:rPr>
        <w:t>in der Satzung – und nicht außerhalb – festzulegen.</w:t>
      </w:r>
    </w:p>
    <w:p w14:paraId="2554BA62" w14:textId="3A3E6B78" w:rsidR="00427D51" w:rsidRDefault="00DB35C5" w:rsidP="00817BC9">
      <w:pPr>
        <w:spacing w:line="360" w:lineRule="auto"/>
        <w:jc w:val="both"/>
        <w:rPr>
          <w:rFonts w:ascii="Times New Roman" w:hAnsi="Times New Roman" w:cs="Times New Roman"/>
          <w:sz w:val="24"/>
          <w:szCs w:val="24"/>
        </w:rPr>
      </w:pPr>
      <w:r w:rsidRPr="00966E13">
        <w:rPr>
          <w:rFonts w:ascii="Times New Roman" w:hAnsi="Times New Roman" w:cs="Times New Roman"/>
          <w:i/>
          <w:sz w:val="24"/>
          <w:szCs w:val="24"/>
        </w:rPr>
        <w:t>Gamper</w:t>
      </w:r>
      <w:r>
        <w:rPr>
          <w:rFonts w:ascii="Times New Roman" w:hAnsi="Times New Roman" w:cs="Times New Roman"/>
          <w:sz w:val="24"/>
          <w:szCs w:val="24"/>
        </w:rPr>
        <w:t xml:space="preserve"> gibt diese Auffassung wieder und setzt </w:t>
      </w:r>
      <w:r w:rsidR="001B1E12">
        <w:rPr>
          <w:rFonts w:ascii="Times New Roman" w:hAnsi="Times New Roman" w:cs="Times New Roman"/>
          <w:sz w:val="24"/>
          <w:szCs w:val="24"/>
        </w:rPr>
        <w:t>s</w:t>
      </w:r>
      <w:r>
        <w:rPr>
          <w:rFonts w:ascii="Times New Roman" w:hAnsi="Times New Roman" w:cs="Times New Roman"/>
          <w:sz w:val="24"/>
          <w:szCs w:val="24"/>
        </w:rPr>
        <w:t>ich in der Folge nur mit dem Regelungsspielraum auseinander, den Rektorat und Senat haben, wenn sie sich dazu entschließen, nähere Bestimmungen nach § 99 Abs 4 letzter Satz UG zu erlassen</w:t>
      </w:r>
      <w:r w:rsidR="00966E13">
        <w:rPr>
          <w:rStyle w:val="Funotenzeichen"/>
          <w:rFonts w:ascii="Times New Roman" w:hAnsi="Times New Roman" w:cs="Times New Roman"/>
          <w:sz w:val="24"/>
          <w:szCs w:val="24"/>
        </w:rPr>
        <w:footnoteReference w:id="49"/>
      </w:r>
      <w:r>
        <w:rPr>
          <w:rFonts w:ascii="Times New Roman" w:hAnsi="Times New Roman" w:cs="Times New Roman"/>
          <w:sz w:val="24"/>
          <w:szCs w:val="24"/>
        </w:rPr>
        <w:t xml:space="preserve">. </w:t>
      </w:r>
      <w:r w:rsidRPr="00966E13">
        <w:rPr>
          <w:rFonts w:ascii="Times New Roman" w:hAnsi="Times New Roman" w:cs="Times New Roman"/>
          <w:i/>
          <w:sz w:val="24"/>
          <w:szCs w:val="24"/>
        </w:rPr>
        <w:t>Perle</w:t>
      </w:r>
      <w:r>
        <w:rPr>
          <w:rFonts w:ascii="Times New Roman" w:hAnsi="Times New Roman" w:cs="Times New Roman"/>
          <w:sz w:val="24"/>
          <w:szCs w:val="24"/>
        </w:rPr>
        <w:t xml:space="preserve"> </w:t>
      </w:r>
      <w:r w:rsidR="00427D51">
        <w:rPr>
          <w:rFonts w:ascii="Times New Roman" w:hAnsi="Times New Roman" w:cs="Times New Roman"/>
          <w:sz w:val="24"/>
          <w:szCs w:val="24"/>
        </w:rPr>
        <w:t>versteht hingegen den letzten Satz des § 99 Abs 4 UG als Auftrag an die Universität, in die Satzung Regelungen über das vereinfachte Berufungsverfahren aufzunehmen</w:t>
      </w:r>
      <w:r w:rsidR="00966E13">
        <w:rPr>
          <w:rStyle w:val="Funotenzeichen"/>
          <w:rFonts w:ascii="Times New Roman" w:hAnsi="Times New Roman" w:cs="Times New Roman"/>
          <w:sz w:val="24"/>
          <w:szCs w:val="24"/>
        </w:rPr>
        <w:footnoteReference w:id="50"/>
      </w:r>
      <w:r w:rsidR="00427D51">
        <w:rPr>
          <w:rFonts w:ascii="Times New Roman" w:hAnsi="Times New Roman" w:cs="Times New Roman"/>
          <w:sz w:val="24"/>
          <w:szCs w:val="24"/>
        </w:rPr>
        <w:t>. Zweck der Regelung wäre die „Sicherstellung der wissenschaftlichen und künstlerischen Qualität der Bewerberinnen und Bewerber um diese Stellen“</w:t>
      </w:r>
      <w:r w:rsidR="00966E13">
        <w:rPr>
          <w:rStyle w:val="Funotenzeichen"/>
          <w:rFonts w:ascii="Times New Roman" w:hAnsi="Times New Roman" w:cs="Times New Roman"/>
          <w:sz w:val="24"/>
          <w:szCs w:val="24"/>
        </w:rPr>
        <w:footnoteReference w:id="51"/>
      </w:r>
      <w:r w:rsidR="00427D51">
        <w:rPr>
          <w:rFonts w:ascii="Times New Roman" w:hAnsi="Times New Roman" w:cs="Times New Roman"/>
          <w:sz w:val="24"/>
          <w:szCs w:val="24"/>
        </w:rPr>
        <w:t>. Sonst bestünde die Gefahr, „dass der Aspekt der erforderlichen Qualifizierung der Bewerberinnen und Bewerber zu wenig Berücksichtigung findet. Es kann dem Gesetzgeber jedoch nicht unterstellt werden, dass er einer solchen Entwicklung Vorschub leistet“</w:t>
      </w:r>
      <w:r w:rsidR="00966E13">
        <w:rPr>
          <w:rStyle w:val="Funotenzeichen"/>
          <w:rFonts w:ascii="Times New Roman" w:hAnsi="Times New Roman" w:cs="Times New Roman"/>
          <w:sz w:val="24"/>
          <w:szCs w:val="24"/>
        </w:rPr>
        <w:footnoteReference w:id="52"/>
      </w:r>
      <w:r w:rsidR="00427D51">
        <w:rPr>
          <w:rFonts w:ascii="Times New Roman" w:hAnsi="Times New Roman" w:cs="Times New Roman"/>
          <w:sz w:val="24"/>
          <w:szCs w:val="24"/>
        </w:rPr>
        <w:t>.</w:t>
      </w:r>
    </w:p>
    <w:p w14:paraId="2554BA63" w14:textId="486DC30F" w:rsidR="004C6A41" w:rsidRDefault="00966E13" w:rsidP="00817BC9">
      <w:pPr>
        <w:spacing w:line="360" w:lineRule="auto"/>
        <w:jc w:val="both"/>
        <w:rPr>
          <w:rFonts w:ascii="Times New Roman" w:hAnsi="Times New Roman" w:cs="Times New Roman"/>
          <w:sz w:val="24"/>
          <w:szCs w:val="24"/>
        </w:rPr>
      </w:pPr>
      <w:r>
        <w:rPr>
          <w:rFonts w:ascii="Times New Roman" w:hAnsi="Times New Roman" w:cs="Times New Roman"/>
          <w:sz w:val="24"/>
          <w:szCs w:val="24"/>
        </w:rPr>
        <w:t>Unklar</w:t>
      </w:r>
      <w:r w:rsidR="00427D51">
        <w:rPr>
          <w:rFonts w:ascii="Times New Roman" w:hAnsi="Times New Roman" w:cs="Times New Roman"/>
          <w:sz w:val="24"/>
          <w:szCs w:val="24"/>
        </w:rPr>
        <w:t xml:space="preserve"> ist aber, warum nur im Wege von </w:t>
      </w:r>
      <w:r w:rsidR="00932C01">
        <w:rPr>
          <w:rFonts w:ascii="Times New Roman" w:hAnsi="Times New Roman" w:cs="Times New Roman"/>
          <w:sz w:val="24"/>
          <w:szCs w:val="24"/>
        </w:rPr>
        <w:t xml:space="preserve">näheren </w:t>
      </w:r>
      <w:r w:rsidR="00427D51">
        <w:rPr>
          <w:rFonts w:ascii="Times New Roman" w:hAnsi="Times New Roman" w:cs="Times New Roman"/>
          <w:sz w:val="24"/>
          <w:szCs w:val="24"/>
        </w:rPr>
        <w:t>Satzungsbestimmungen die Qualität sichergestellt werden kann. Auch ohne Satzungsbestimmung</w:t>
      </w:r>
      <w:r w:rsidR="007675AE">
        <w:rPr>
          <w:rFonts w:ascii="Times New Roman" w:hAnsi="Times New Roman" w:cs="Times New Roman"/>
          <w:sz w:val="24"/>
          <w:szCs w:val="24"/>
        </w:rPr>
        <w:t>en</w:t>
      </w:r>
      <w:r w:rsidR="00427D51">
        <w:rPr>
          <w:rFonts w:ascii="Times New Roman" w:hAnsi="Times New Roman" w:cs="Times New Roman"/>
          <w:sz w:val="24"/>
          <w:szCs w:val="24"/>
        </w:rPr>
        <w:t xml:space="preserve"> </w:t>
      </w:r>
      <w:r w:rsidR="00932C01">
        <w:rPr>
          <w:rFonts w:ascii="Times New Roman" w:hAnsi="Times New Roman" w:cs="Times New Roman"/>
          <w:sz w:val="24"/>
          <w:szCs w:val="24"/>
        </w:rPr>
        <w:t>können</w:t>
      </w:r>
      <w:r w:rsidR="00427D51">
        <w:rPr>
          <w:rFonts w:ascii="Times New Roman" w:hAnsi="Times New Roman" w:cs="Times New Roman"/>
          <w:sz w:val="24"/>
          <w:szCs w:val="24"/>
        </w:rPr>
        <w:t xml:space="preserve"> Rektor/inn/en </w:t>
      </w:r>
      <w:r w:rsidR="00932C01">
        <w:rPr>
          <w:rFonts w:ascii="Times New Roman" w:hAnsi="Times New Roman" w:cs="Times New Roman"/>
          <w:sz w:val="24"/>
          <w:szCs w:val="24"/>
        </w:rPr>
        <w:t>das</w:t>
      </w:r>
      <w:r w:rsidR="00427D51">
        <w:rPr>
          <w:rFonts w:ascii="Times New Roman" w:hAnsi="Times New Roman" w:cs="Times New Roman"/>
          <w:sz w:val="24"/>
          <w:szCs w:val="24"/>
        </w:rPr>
        <w:t xml:space="preserve"> Auswahlverfahren </w:t>
      </w:r>
      <w:r w:rsidR="00932C01">
        <w:rPr>
          <w:rFonts w:ascii="Times New Roman" w:hAnsi="Times New Roman" w:cs="Times New Roman"/>
          <w:sz w:val="24"/>
          <w:szCs w:val="24"/>
        </w:rPr>
        <w:t>so durchführen, das</w:t>
      </w:r>
      <w:r w:rsidR="00CE5154">
        <w:rPr>
          <w:rFonts w:ascii="Times New Roman" w:hAnsi="Times New Roman" w:cs="Times New Roman"/>
          <w:sz w:val="24"/>
          <w:szCs w:val="24"/>
        </w:rPr>
        <w:t>s</w:t>
      </w:r>
      <w:r w:rsidR="00932C01">
        <w:rPr>
          <w:rFonts w:ascii="Times New Roman" w:hAnsi="Times New Roman" w:cs="Times New Roman"/>
          <w:sz w:val="24"/>
          <w:szCs w:val="24"/>
        </w:rPr>
        <w:t xml:space="preserve"> es internationalen kompetitiven Standards entspricht. Die Rektor/inn</w:t>
      </w:r>
      <w:r w:rsidR="00A33213">
        <w:rPr>
          <w:rFonts w:ascii="Times New Roman" w:hAnsi="Times New Roman" w:cs="Times New Roman"/>
          <w:sz w:val="24"/>
          <w:szCs w:val="24"/>
        </w:rPr>
        <w:t>/</w:t>
      </w:r>
      <w:r w:rsidR="00932C01">
        <w:rPr>
          <w:rFonts w:ascii="Times New Roman" w:hAnsi="Times New Roman" w:cs="Times New Roman"/>
          <w:sz w:val="24"/>
          <w:szCs w:val="24"/>
        </w:rPr>
        <w:t>en können beispielsweise interne und externe Gutachten einholen</w:t>
      </w:r>
      <w:r w:rsidR="007675AE">
        <w:rPr>
          <w:rFonts w:ascii="Times New Roman" w:hAnsi="Times New Roman" w:cs="Times New Roman"/>
          <w:sz w:val="24"/>
          <w:szCs w:val="24"/>
        </w:rPr>
        <w:t xml:space="preserve"> und andere qualitätssichernde Maßnahmen setzen</w:t>
      </w:r>
      <w:r w:rsidR="00932C01">
        <w:rPr>
          <w:rFonts w:ascii="Times New Roman" w:hAnsi="Times New Roman" w:cs="Times New Roman"/>
          <w:sz w:val="24"/>
          <w:szCs w:val="24"/>
        </w:rPr>
        <w:t>.</w:t>
      </w:r>
      <w:r w:rsidR="007675AE">
        <w:rPr>
          <w:rFonts w:ascii="Times New Roman" w:hAnsi="Times New Roman" w:cs="Times New Roman"/>
          <w:sz w:val="24"/>
          <w:szCs w:val="24"/>
        </w:rPr>
        <w:t xml:space="preserve"> Die Vorschrift des § 99 Abs 3 UG, die die Durchführung eines Auswahlverfahrens, „das internationalen kompetitiven Standards entspricht</w:t>
      </w:r>
      <w:r w:rsidR="00C62822">
        <w:rPr>
          <w:rFonts w:ascii="Times New Roman" w:hAnsi="Times New Roman" w:cs="Times New Roman"/>
          <w:sz w:val="24"/>
          <w:szCs w:val="24"/>
        </w:rPr>
        <w:t>“</w:t>
      </w:r>
      <w:r w:rsidR="007675AE">
        <w:rPr>
          <w:rFonts w:ascii="Times New Roman" w:hAnsi="Times New Roman" w:cs="Times New Roman"/>
          <w:sz w:val="24"/>
          <w:szCs w:val="24"/>
        </w:rPr>
        <w:t xml:space="preserve">, ausdrücklich zur Aufgabe </w:t>
      </w:r>
      <w:r w:rsidR="00C62822">
        <w:rPr>
          <w:rFonts w:ascii="Times New Roman" w:hAnsi="Times New Roman" w:cs="Times New Roman"/>
          <w:sz w:val="24"/>
          <w:szCs w:val="24"/>
        </w:rPr>
        <w:t xml:space="preserve">der Rektor/inn/en </w:t>
      </w:r>
      <w:r w:rsidR="007675AE">
        <w:rPr>
          <w:rFonts w:ascii="Times New Roman" w:hAnsi="Times New Roman" w:cs="Times New Roman"/>
          <w:sz w:val="24"/>
          <w:szCs w:val="24"/>
        </w:rPr>
        <w:t xml:space="preserve">macht, </w:t>
      </w:r>
      <w:r w:rsidR="009D3A75">
        <w:rPr>
          <w:rFonts w:ascii="Times New Roman" w:hAnsi="Times New Roman" w:cs="Times New Roman"/>
          <w:sz w:val="24"/>
          <w:szCs w:val="24"/>
        </w:rPr>
        <w:t>gibt auch davon Zeugnis</w:t>
      </w:r>
      <w:r w:rsidR="00C62822">
        <w:rPr>
          <w:rFonts w:ascii="Times New Roman" w:hAnsi="Times New Roman" w:cs="Times New Roman"/>
          <w:sz w:val="24"/>
          <w:szCs w:val="24"/>
        </w:rPr>
        <w:t>, dass der Gesetzgeber Qualität nicht ausschließlich im Wege der Satzung gesichert wissen will.</w:t>
      </w:r>
      <w:r w:rsidR="007675AE">
        <w:rPr>
          <w:rFonts w:ascii="Times New Roman" w:hAnsi="Times New Roman" w:cs="Times New Roman"/>
          <w:sz w:val="24"/>
          <w:szCs w:val="24"/>
        </w:rPr>
        <w:t xml:space="preserve"> </w:t>
      </w:r>
      <w:r w:rsidR="00932C01">
        <w:rPr>
          <w:rFonts w:ascii="Times New Roman" w:hAnsi="Times New Roman" w:cs="Times New Roman"/>
          <w:sz w:val="24"/>
          <w:szCs w:val="24"/>
        </w:rPr>
        <w:t xml:space="preserve">Umgekehrt stellt die Erlassung von Satzungsbestimmungen nicht </w:t>
      </w:r>
      <w:r w:rsidR="004C6A41">
        <w:rPr>
          <w:rFonts w:ascii="Times New Roman" w:hAnsi="Times New Roman" w:cs="Times New Roman"/>
          <w:sz w:val="24"/>
          <w:szCs w:val="24"/>
        </w:rPr>
        <w:t>automatisch</w:t>
      </w:r>
      <w:r w:rsidR="00932C01">
        <w:rPr>
          <w:rFonts w:ascii="Times New Roman" w:hAnsi="Times New Roman" w:cs="Times New Roman"/>
          <w:sz w:val="24"/>
          <w:szCs w:val="24"/>
        </w:rPr>
        <w:t xml:space="preserve"> sicher, dass dadurch die Qualifizierung der Bewerber/innen stärker berücksichtigt wird. Der Wortlaut des § 99 Abs 4 UG spricht nämlich nur davon, dass „nähere Bestimmungen“ in der Satzung festzulegen sind, ohne den die Satzungsbestimmungen erlassenden Organen – Rektorat und Senat – ausdrücklich aufzutragen, dass diese näheren Bestimmungen der zusätzlichen Qualitätssicherung zu dienen haben.</w:t>
      </w:r>
      <w:r w:rsidR="007675AE">
        <w:rPr>
          <w:rFonts w:ascii="Times New Roman" w:hAnsi="Times New Roman" w:cs="Times New Roman"/>
          <w:sz w:val="24"/>
          <w:szCs w:val="24"/>
        </w:rPr>
        <w:t xml:space="preserve"> Ginge es dem Gesetzgeber alleine um die Qualitätssicherung, </w:t>
      </w:r>
      <w:r w:rsidR="009D3A75">
        <w:rPr>
          <w:rFonts w:ascii="Times New Roman" w:hAnsi="Times New Roman" w:cs="Times New Roman"/>
          <w:sz w:val="24"/>
          <w:szCs w:val="24"/>
        </w:rPr>
        <w:t xml:space="preserve">hätte </w:t>
      </w:r>
      <w:r w:rsidR="003E581F">
        <w:rPr>
          <w:rFonts w:ascii="Times New Roman" w:hAnsi="Times New Roman" w:cs="Times New Roman"/>
          <w:sz w:val="24"/>
          <w:szCs w:val="24"/>
        </w:rPr>
        <w:t xml:space="preserve">er wohl </w:t>
      </w:r>
      <w:r w:rsidR="004D7012">
        <w:rPr>
          <w:rFonts w:ascii="Times New Roman" w:hAnsi="Times New Roman" w:cs="Times New Roman"/>
          <w:sz w:val="24"/>
          <w:szCs w:val="24"/>
        </w:rPr>
        <w:t xml:space="preserve">noch </w:t>
      </w:r>
      <w:r w:rsidR="007675AE">
        <w:rPr>
          <w:rFonts w:ascii="Times New Roman" w:hAnsi="Times New Roman" w:cs="Times New Roman"/>
          <w:sz w:val="24"/>
          <w:szCs w:val="24"/>
        </w:rPr>
        <w:t>präzise</w:t>
      </w:r>
      <w:r w:rsidR="004D7012">
        <w:rPr>
          <w:rFonts w:ascii="Times New Roman" w:hAnsi="Times New Roman" w:cs="Times New Roman"/>
          <w:sz w:val="24"/>
          <w:szCs w:val="24"/>
        </w:rPr>
        <w:t>re</w:t>
      </w:r>
      <w:r w:rsidR="007675AE">
        <w:rPr>
          <w:rFonts w:ascii="Times New Roman" w:hAnsi="Times New Roman" w:cs="Times New Roman"/>
          <w:sz w:val="24"/>
          <w:szCs w:val="24"/>
        </w:rPr>
        <w:t xml:space="preserve"> Anordnungen zur Durchführung des Auswahlverfahrens </w:t>
      </w:r>
      <w:r w:rsidR="009D3A75">
        <w:rPr>
          <w:rFonts w:ascii="Times New Roman" w:hAnsi="Times New Roman" w:cs="Times New Roman"/>
          <w:sz w:val="24"/>
          <w:szCs w:val="24"/>
        </w:rPr>
        <w:t>getroffen</w:t>
      </w:r>
      <w:r w:rsidR="007675AE">
        <w:rPr>
          <w:rFonts w:ascii="Times New Roman" w:hAnsi="Times New Roman" w:cs="Times New Roman"/>
          <w:sz w:val="24"/>
          <w:szCs w:val="24"/>
        </w:rPr>
        <w:t xml:space="preserve">. </w:t>
      </w:r>
    </w:p>
    <w:p w14:paraId="2554BA64" w14:textId="0614CCAC" w:rsidR="00FC3E1C" w:rsidRDefault="004C6A41" w:rsidP="00817BC9">
      <w:pPr>
        <w:spacing w:line="360" w:lineRule="auto"/>
        <w:jc w:val="both"/>
        <w:rPr>
          <w:rFonts w:ascii="Times New Roman" w:hAnsi="Times New Roman" w:cs="Times New Roman"/>
          <w:sz w:val="24"/>
          <w:szCs w:val="24"/>
        </w:rPr>
      </w:pPr>
      <w:r w:rsidRPr="00C20597">
        <w:rPr>
          <w:rFonts w:ascii="Times New Roman" w:hAnsi="Times New Roman" w:cs="Times New Roman"/>
          <w:i/>
          <w:sz w:val="24"/>
          <w:szCs w:val="24"/>
        </w:rPr>
        <w:t>Kucsko-Stadlmayer</w:t>
      </w:r>
      <w:r>
        <w:rPr>
          <w:rFonts w:ascii="Times New Roman" w:hAnsi="Times New Roman" w:cs="Times New Roman"/>
          <w:sz w:val="24"/>
          <w:szCs w:val="24"/>
        </w:rPr>
        <w:t xml:space="preserve"> stellt ein anderes Argument in den Vordergrund. Dem Senat wäre durch die Ermächtigung zur Erlassung weiterer Bestimmungen „ein wichtiges Zustimmungsrecht“ eingeräumt</w:t>
      </w:r>
      <w:r w:rsidR="00966E13">
        <w:rPr>
          <w:rStyle w:val="Funotenzeichen"/>
          <w:rFonts w:ascii="Times New Roman" w:hAnsi="Times New Roman" w:cs="Times New Roman"/>
          <w:sz w:val="24"/>
          <w:szCs w:val="24"/>
        </w:rPr>
        <w:footnoteReference w:id="53"/>
      </w:r>
      <w:r>
        <w:rPr>
          <w:rFonts w:ascii="Times New Roman" w:hAnsi="Times New Roman" w:cs="Times New Roman"/>
          <w:sz w:val="24"/>
          <w:szCs w:val="24"/>
        </w:rPr>
        <w:t>. Der Sinn des letzten Satzes des § 9</w:t>
      </w:r>
      <w:r w:rsidR="0091202A">
        <w:rPr>
          <w:rFonts w:ascii="Times New Roman" w:hAnsi="Times New Roman" w:cs="Times New Roman"/>
          <w:sz w:val="24"/>
          <w:szCs w:val="24"/>
        </w:rPr>
        <w:t>9</w:t>
      </w:r>
      <w:r>
        <w:rPr>
          <w:rFonts w:ascii="Times New Roman" w:hAnsi="Times New Roman" w:cs="Times New Roman"/>
          <w:sz w:val="24"/>
          <w:szCs w:val="24"/>
        </w:rPr>
        <w:t xml:space="preserve"> Abs 4 UG könnte demnach darin </w:t>
      </w:r>
      <w:r w:rsidR="001D7A61">
        <w:rPr>
          <w:rFonts w:ascii="Times New Roman" w:hAnsi="Times New Roman" w:cs="Times New Roman"/>
          <w:sz w:val="24"/>
          <w:szCs w:val="24"/>
        </w:rPr>
        <w:t>liegen</w:t>
      </w:r>
      <w:r>
        <w:rPr>
          <w:rFonts w:ascii="Times New Roman" w:hAnsi="Times New Roman" w:cs="Times New Roman"/>
          <w:sz w:val="24"/>
          <w:szCs w:val="24"/>
        </w:rPr>
        <w:t>, dass der Senat, dessen Mitglieder zur Hälfte aus Universitätsprofessor</w:t>
      </w:r>
      <w:r w:rsidR="001D7A61">
        <w:rPr>
          <w:rFonts w:ascii="Times New Roman" w:hAnsi="Times New Roman" w:cs="Times New Roman"/>
          <w:sz w:val="24"/>
          <w:szCs w:val="24"/>
        </w:rPr>
        <w:t>/inn/</w:t>
      </w:r>
      <w:r>
        <w:rPr>
          <w:rFonts w:ascii="Times New Roman" w:hAnsi="Times New Roman" w:cs="Times New Roman"/>
          <w:sz w:val="24"/>
          <w:szCs w:val="24"/>
        </w:rPr>
        <w:t>en besteh</w:t>
      </w:r>
      <w:r w:rsidR="0027649A">
        <w:rPr>
          <w:rFonts w:ascii="Times New Roman" w:hAnsi="Times New Roman" w:cs="Times New Roman"/>
          <w:sz w:val="24"/>
          <w:szCs w:val="24"/>
        </w:rPr>
        <w:t>en</w:t>
      </w:r>
      <w:r>
        <w:rPr>
          <w:rFonts w:ascii="Times New Roman" w:hAnsi="Times New Roman" w:cs="Times New Roman"/>
          <w:sz w:val="24"/>
          <w:szCs w:val="24"/>
        </w:rPr>
        <w:t xml:space="preserve">, </w:t>
      </w:r>
      <w:r w:rsidR="00C24876">
        <w:rPr>
          <w:rFonts w:ascii="Times New Roman" w:hAnsi="Times New Roman" w:cs="Times New Roman"/>
          <w:sz w:val="24"/>
          <w:szCs w:val="24"/>
        </w:rPr>
        <w:t>die Durchführung von vereinfachten</w:t>
      </w:r>
      <w:r>
        <w:rPr>
          <w:rFonts w:ascii="Times New Roman" w:hAnsi="Times New Roman" w:cs="Times New Roman"/>
          <w:sz w:val="24"/>
          <w:szCs w:val="24"/>
        </w:rPr>
        <w:t xml:space="preserve"> </w:t>
      </w:r>
      <w:r w:rsidR="00C24876">
        <w:rPr>
          <w:rFonts w:ascii="Times New Roman" w:hAnsi="Times New Roman" w:cs="Times New Roman"/>
          <w:sz w:val="24"/>
          <w:szCs w:val="24"/>
        </w:rPr>
        <w:t xml:space="preserve">Berufungsverfahren nach § 99 Abs 4 UG und </w:t>
      </w:r>
      <w:r w:rsidR="001D7A61">
        <w:rPr>
          <w:rFonts w:ascii="Times New Roman" w:hAnsi="Times New Roman" w:cs="Times New Roman"/>
          <w:sz w:val="24"/>
          <w:szCs w:val="24"/>
        </w:rPr>
        <w:t>damit</w:t>
      </w:r>
      <w:r w:rsidR="00C24876">
        <w:rPr>
          <w:rFonts w:ascii="Times New Roman" w:hAnsi="Times New Roman" w:cs="Times New Roman"/>
          <w:sz w:val="24"/>
          <w:szCs w:val="24"/>
        </w:rPr>
        <w:t xml:space="preserve"> </w:t>
      </w:r>
      <w:r w:rsidR="001D7A61">
        <w:rPr>
          <w:rFonts w:ascii="Times New Roman" w:hAnsi="Times New Roman" w:cs="Times New Roman"/>
          <w:sz w:val="24"/>
          <w:szCs w:val="24"/>
        </w:rPr>
        <w:t>die</w:t>
      </w:r>
      <w:r w:rsidR="00C24876">
        <w:rPr>
          <w:rFonts w:ascii="Times New Roman" w:hAnsi="Times New Roman" w:cs="Times New Roman"/>
          <w:sz w:val="24"/>
          <w:szCs w:val="24"/>
        </w:rPr>
        <w:t xml:space="preserve"> </w:t>
      </w:r>
      <w:r w:rsidR="001D7A61">
        <w:rPr>
          <w:rFonts w:ascii="Times New Roman" w:hAnsi="Times New Roman" w:cs="Times New Roman"/>
          <w:sz w:val="24"/>
          <w:szCs w:val="24"/>
        </w:rPr>
        <w:t>Berufung von</w:t>
      </w:r>
      <w:r w:rsidR="00C24876">
        <w:rPr>
          <w:rFonts w:ascii="Times New Roman" w:hAnsi="Times New Roman" w:cs="Times New Roman"/>
          <w:sz w:val="24"/>
          <w:szCs w:val="24"/>
        </w:rPr>
        <w:t xml:space="preserve"> Universitätsprofessor/inn/en </w:t>
      </w:r>
      <w:r w:rsidR="001D7A61">
        <w:rPr>
          <w:rFonts w:ascii="Times New Roman" w:hAnsi="Times New Roman" w:cs="Times New Roman"/>
          <w:sz w:val="24"/>
          <w:szCs w:val="24"/>
        </w:rPr>
        <w:t>im Wege eines vereinfachten Verfahrens nur zu Bedingungen zulassen kann, die seine Zustimmung finden</w:t>
      </w:r>
      <w:r w:rsidR="00563E79">
        <w:rPr>
          <w:rStyle w:val="Funotenzeichen"/>
          <w:rFonts w:ascii="Times New Roman" w:hAnsi="Times New Roman" w:cs="Times New Roman"/>
          <w:sz w:val="24"/>
          <w:szCs w:val="24"/>
        </w:rPr>
        <w:footnoteReference w:id="54"/>
      </w:r>
      <w:r w:rsidR="001D7A61">
        <w:rPr>
          <w:rFonts w:ascii="Times New Roman" w:hAnsi="Times New Roman" w:cs="Times New Roman"/>
          <w:sz w:val="24"/>
          <w:szCs w:val="24"/>
        </w:rPr>
        <w:t>. In Verfahren nach § 98 UG hat der Senat nämlich bedeutende Mitwirkungsmöglichkeiten: Er setzt die Berufungskommissionen ein und die dem Senat angehörenden Universitätsprofessor/inn/en können Gutachter/innen bestellen. In abgekürzten Berufungsverfahren nach § 99 Abs 1 und 3 UG kommen dem Senat zwar keine Zuständigkeiten zu. Doch erlaubt § 99 Abs 1 UG nur die befristete Bestellung von Universitätsprofessor/inn/en</w:t>
      </w:r>
      <w:r w:rsidR="00D20F0F">
        <w:rPr>
          <w:rFonts w:ascii="Times New Roman" w:hAnsi="Times New Roman" w:cs="Times New Roman"/>
          <w:sz w:val="24"/>
          <w:szCs w:val="24"/>
        </w:rPr>
        <w:t xml:space="preserve">. § 99 Abs 3 UG sieht zwar auch eine vorerst nur befristete Bestellung vor, die </w:t>
      </w:r>
      <w:r w:rsidR="004D7012">
        <w:rPr>
          <w:rFonts w:ascii="Times New Roman" w:hAnsi="Times New Roman" w:cs="Times New Roman"/>
          <w:sz w:val="24"/>
          <w:szCs w:val="24"/>
        </w:rPr>
        <w:t xml:space="preserve">jedoch </w:t>
      </w:r>
      <w:r w:rsidR="00D20F0F">
        <w:rPr>
          <w:rFonts w:ascii="Times New Roman" w:hAnsi="Times New Roman" w:cs="Times New Roman"/>
          <w:sz w:val="24"/>
          <w:szCs w:val="24"/>
        </w:rPr>
        <w:t>nach Durchführung einer Qualifikationsprüfung unbefristet verlängert werden kann. D</w:t>
      </w:r>
      <w:r w:rsidR="001D7A61">
        <w:rPr>
          <w:rFonts w:ascii="Times New Roman" w:hAnsi="Times New Roman" w:cs="Times New Roman"/>
          <w:sz w:val="24"/>
          <w:szCs w:val="24"/>
        </w:rPr>
        <w:t xml:space="preserve">ie Zahl der nach </w:t>
      </w:r>
      <w:r w:rsidR="00D20F0F">
        <w:rPr>
          <w:rFonts w:ascii="Times New Roman" w:hAnsi="Times New Roman" w:cs="Times New Roman"/>
          <w:sz w:val="24"/>
          <w:szCs w:val="24"/>
        </w:rPr>
        <w:t>dieser Vorschrift</w:t>
      </w:r>
      <w:r w:rsidR="001D7A61">
        <w:rPr>
          <w:rFonts w:ascii="Times New Roman" w:hAnsi="Times New Roman" w:cs="Times New Roman"/>
          <w:sz w:val="24"/>
          <w:szCs w:val="24"/>
        </w:rPr>
        <w:t xml:space="preserve"> </w:t>
      </w:r>
      <w:r w:rsidR="00D20F0F">
        <w:rPr>
          <w:rFonts w:ascii="Times New Roman" w:hAnsi="Times New Roman" w:cs="Times New Roman"/>
          <w:sz w:val="24"/>
          <w:szCs w:val="24"/>
        </w:rPr>
        <w:t xml:space="preserve">zu bestellenden Universitätsprofessor/inn/en ist allerdings mit 20 % der Stellen gemäß § 122 Abs 2 Z 4 UG limitiert. § 99 Abs 4 UG ermöglicht hingegen die unbefristete Bestellung von Universitätsprofessor/inn/en ohne zahlenmäßige Beschränkung, sodass auf diese Weise die in Verfahren nach § 98 UG vorgesehenen Mitwirkungsbefugnisse des Senates ausgehebelt werden könnten. </w:t>
      </w:r>
      <w:r w:rsidR="00D90011">
        <w:rPr>
          <w:rFonts w:ascii="Times New Roman" w:hAnsi="Times New Roman" w:cs="Times New Roman"/>
          <w:sz w:val="24"/>
          <w:szCs w:val="24"/>
        </w:rPr>
        <w:t xml:space="preserve">Im Wege </w:t>
      </w:r>
      <w:r w:rsidR="0027649A">
        <w:rPr>
          <w:rFonts w:ascii="Times New Roman" w:hAnsi="Times New Roman" w:cs="Times New Roman"/>
          <w:sz w:val="24"/>
          <w:szCs w:val="24"/>
        </w:rPr>
        <w:t xml:space="preserve">der Festlegung einer großen Zahl von Stellen </w:t>
      </w:r>
      <w:r w:rsidR="003E581F">
        <w:rPr>
          <w:rFonts w:ascii="Times New Roman" w:hAnsi="Times New Roman" w:cs="Times New Roman"/>
          <w:sz w:val="24"/>
          <w:szCs w:val="24"/>
        </w:rPr>
        <w:t xml:space="preserve">nach § 99 Abs 4 UG </w:t>
      </w:r>
      <w:r w:rsidR="0027649A">
        <w:rPr>
          <w:rFonts w:ascii="Times New Roman" w:hAnsi="Times New Roman" w:cs="Times New Roman"/>
          <w:sz w:val="24"/>
          <w:szCs w:val="24"/>
        </w:rPr>
        <w:t xml:space="preserve">im </w:t>
      </w:r>
      <w:r w:rsidR="00D90011">
        <w:rPr>
          <w:rFonts w:ascii="Times New Roman" w:hAnsi="Times New Roman" w:cs="Times New Roman"/>
          <w:sz w:val="24"/>
          <w:szCs w:val="24"/>
        </w:rPr>
        <w:t>Entwicklungsplan könnte das Berufungsverfahren nach § 98 UG zugunsten des vereinfachten Berufungsverfahrens nach § 99 Abs 4 UG in den Hintergrund gedrängt werden</w:t>
      </w:r>
      <w:r w:rsidR="008F0B83">
        <w:rPr>
          <w:rStyle w:val="Funotenzeichen"/>
          <w:rFonts w:ascii="Times New Roman" w:hAnsi="Times New Roman" w:cs="Times New Roman"/>
          <w:sz w:val="24"/>
          <w:szCs w:val="24"/>
        </w:rPr>
        <w:footnoteReference w:id="55"/>
      </w:r>
      <w:r w:rsidR="00D90011">
        <w:rPr>
          <w:rFonts w:ascii="Times New Roman" w:hAnsi="Times New Roman" w:cs="Times New Roman"/>
          <w:sz w:val="24"/>
          <w:szCs w:val="24"/>
        </w:rPr>
        <w:t xml:space="preserve">. </w:t>
      </w:r>
      <w:r w:rsidR="003E581F">
        <w:rPr>
          <w:rFonts w:ascii="Times New Roman" w:hAnsi="Times New Roman" w:cs="Times New Roman"/>
          <w:sz w:val="24"/>
          <w:szCs w:val="24"/>
        </w:rPr>
        <w:t xml:space="preserve">Der Entwicklungsplan lässt sich auch ohne Zustimmung des Senats ändern. </w:t>
      </w:r>
      <w:r w:rsidR="00D90011">
        <w:rPr>
          <w:rFonts w:ascii="Times New Roman" w:hAnsi="Times New Roman" w:cs="Times New Roman"/>
          <w:sz w:val="24"/>
          <w:szCs w:val="24"/>
        </w:rPr>
        <w:t>D</w:t>
      </w:r>
      <w:r w:rsidR="00D20F0F">
        <w:rPr>
          <w:rFonts w:ascii="Times New Roman" w:hAnsi="Times New Roman" w:cs="Times New Roman"/>
          <w:sz w:val="24"/>
          <w:szCs w:val="24"/>
        </w:rPr>
        <w:t xml:space="preserve">er Zweck des § 99 Abs 4 letzter Satz UG könnte darin gesehen werden, </w:t>
      </w:r>
      <w:r w:rsidR="00FC3E1C">
        <w:rPr>
          <w:rFonts w:ascii="Times New Roman" w:hAnsi="Times New Roman" w:cs="Times New Roman"/>
          <w:sz w:val="24"/>
          <w:szCs w:val="24"/>
        </w:rPr>
        <w:t xml:space="preserve">auch </w:t>
      </w:r>
      <w:r w:rsidR="00D90011">
        <w:rPr>
          <w:rFonts w:ascii="Times New Roman" w:hAnsi="Times New Roman" w:cs="Times New Roman"/>
          <w:sz w:val="24"/>
          <w:szCs w:val="24"/>
        </w:rPr>
        <w:t xml:space="preserve">in </w:t>
      </w:r>
      <w:r w:rsidR="00FC3E1C">
        <w:rPr>
          <w:rFonts w:ascii="Times New Roman" w:hAnsi="Times New Roman" w:cs="Times New Roman"/>
          <w:sz w:val="24"/>
          <w:szCs w:val="24"/>
        </w:rPr>
        <w:t>der Regelung des Verfahrens nach dieser Vorschrift</w:t>
      </w:r>
      <w:r w:rsidR="00D90011">
        <w:rPr>
          <w:rFonts w:ascii="Times New Roman" w:hAnsi="Times New Roman" w:cs="Times New Roman"/>
          <w:sz w:val="24"/>
          <w:szCs w:val="24"/>
        </w:rPr>
        <w:t xml:space="preserve"> dem Senat Mitwirkungsmöglichkeiten zu geben. Die Vorschrift des § 99 Abs 6 UG relativiert dieses Argument allerdings: </w:t>
      </w:r>
      <w:r w:rsidR="003C0E2B">
        <w:rPr>
          <w:rFonts w:ascii="Times New Roman" w:hAnsi="Times New Roman" w:cs="Times New Roman"/>
          <w:sz w:val="24"/>
          <w:szCs w:val="24"/>
        </w:rPr>
        <w:t>Durch das</w:t>
      </w:r>
      <w:r w:rsidR="00D90011">
        <w:rPr>
          <w:rFonts w:ascii="Times New Roman" w:hAnsi="Times New Roman" w:cs="Times New Roman"/>
          <w:sz w:val="24"/>
          <w:szCs w:val="24"/>
        </w:rPr>
        <w:t xml:space="preserve"> in dieser Vorschrift geregelte Tenure Track-Modell</w:t>
      </w:r>
      <w:r w:rsidR="003C0E2B">
        <w:rPr>
          <w:rFonts w:ascii="Times New Roman" w:hAnsi="Times New Roman" w:cs="Times New Roman"/>
          <w:sz w:val="24"/>
          <w:szCs w:val="24"/>
        </w:rPr>
        <w:t xml:space="preserve"> können Personen den organisationsrechtlichen Status </w:t>
      </w:r>
      <w:r w:rsidR="009D3A75">
        <w:rPr>
          <w:rFonts w:ascii="Times New Roman" w:hAnsi="Times New Roman" w:cs="Times New Roman"/>
          <w:sz w:val="24"/>
          <w:szCs w:val="24"/>
        </w:rPr>
        <w:t xml:space="preserve">von </w:t>
      </w:r>
      <w:r w:rsidR="003C0E2B">
        <w:rPr>
          <w:rFonts w:ascii="Times New Roman" w:hAnsi="Times New Roman" w:cs="Times New Roman"/>
          <w:sz w:val="24"/>
          <w:szCs w:val="24"/>
        </w:rPr>
        <w:t>Universitätsprofessor</w:t>
      </w:r>
      <w:r w:rsidR="009D3A75">
        <w:rPr>
          <w:rFonts w:ascii="Times New Roman" w:hAnsi="Times New Roman" w:cs="Times New Roman"/>
          <w:sz w:val="24"/>
          <w:szCs w:val="24"/>
        </w:rPr>
        <w:t>/</w:t>
      </w:r>
      <w:r w:rsidR="003C0E2B">
        <w:rPr>
          <w:rFonts w:ascii="Times New Roman" w:hAnsi="Times New Roman" w:cs="Times New Roman"/>
          <w:sz w:val="24"/>
          <w:szCs w:val="24"/>
        </w:rPr>
        <w:t>in</w:t>
      </w:r>
      <w:r w:rsidR="009D3A75">
        <w:rPr>
          <w:rFonts w:ascii="Times New Roman" w:hAnsi="Times New Roman" w:cs="Times New Roman"/>
          <w:sz w:val="24"/>
          <w:szCs w:val="24"/>
        </w:rPr>
        <w:t>n/en</w:t>
      </w:r>
      <w:r w:rsidR="003C0E2B">
        <w:rPr>
          <w:rFonts w:ascii="Times New Roman" w:hAnsi="Times New Roman" w:cs="Times New Roman"/>
          <w:sz w:val="24"/>
          <w:szCs w:val="24"/>
        </w:rPr>
        <w:t xml:space="preserve"> erlangen, ohne dass der Senat in die Festlegung des Auswahlverfahrens oder </w:t>
      </w:r>
      <w:r w:rsidR="002C2AA4">
        <w:rPr>
          <w:rFonts w:ascii="Times New Roman" w:hAnsi="Times New Roman" w:cs="Times New Roman"/>
          <w:sz w:val="24"/>
          <w:szCs w:val="24"/>
        </w:rPr>
        <w:t xml:space="preserve">der </w:t>
      </w:r>
      <w:r w:rsidR="003C0E2B">
        <w:rPr>
          <w:rFonts w:ascii="Times New Roman" w:hAnsi="Times New Roman" w:cs="Times New Roman"/>
          <w:sz w:val="24"/>
          <w:szCs w:val="24"/>
        </w:rPr>
        <w:t xml:space="preserve">Qualifikationsprüfung involviert ist. Die Zahl dieser Stellen </w:t>
      </w:r>
      <w:r w:rsidR="00FC3E1C">
        <w:rPr>
          <w:rFonts w:ascii="Times New Roman" w:hAnsi="Times New Roman" w:cs="Times New Roman"/>
          <w:sz w:val="24"/>
          <w:szCs w:val="24"/>
        </w:rPr>
        <w:t xml:space="preserve">ist nicht begrenzt. Sie </w:t>
      </w:r>
      <w:r w:rsidR="003C0E2B">
        <w:rPr>
          <w:rFonts w:ascii="Times New Roman" w:hAnsi="Times New Roman" w:cs="Times New Roman"/>
          <w:sz w:val="24"/>
          <w:szCs w:val="24"/>
        </w:rPr>
        <w:t>wird ebenfalls im Entwicklungsplan und somit ohne Notwendigkeit der Zustimmung des Senats geregelt.</w:t>
      </w:r>
      <w:r w:rsidR="00FC3E1C">
        <w:rPr>
          <w:rFonts w:ascii="Times New Roman" w:hAnsi="Times New Roman" w:cs="Times New Roman"/>
          <w:sz w:val="24"/>
          <w:szCs w:val="24"/>
        </w:rPr>
        <w:t xml:space="preserve"> </w:t>
      </w:r>
      <w:r w:rsidR="008F0B83">
        <w:rPr>
          <w:rFonts w:ascii="Times New Roman" w:hAnsi="Times New Roman" w:cs="Times New Roman"/>
          <w:sz w:val="24"/>
          <w:szCs w:val="24"/>
        </w:rPr>
        <w:t xml:space="preserve">Dies spricht gegen die Annahme, dass </w:t>
      </w:r>
      <w:r w:rsidR="003C0E2B">
        <w:rPr>
          <w:rFonts w:ascii="Times New Roman" w:hAnsi="Times New Roman" w:cs="Times New Roman"/>
          <w:sz w:val="24"/>
          <w:szCs w:val="24"/>
        </w:rPr>
        <w:t>die Erlassung „nähere</w:t>
      </w:r>
      <w:r w:rsidR="00AA74D1">
        <w:rPr>
          <w:rFonts w:ascii="Times New Roman" w:hAnsi="Times New Roman" w:cs="Times New Roman"/>
          <w:sz w:val="24"/>
          <w:szCs w:val="24"/>
        </w:rPr>
        <w:t>[</w:t>
      </w:r>
      <w:r w:rsidR="00FC3E1C">
        <w:rPr>
          <w:rFonts w:ascii="Times New Roman" w:hAnsi="Times New Roman" w:cs="Times New Roman"/>
          <w:sz w:val="24"/>
          <w:szCs w:val="24"/>
        </w:rPr>
        <w:t>r</w:t>
      </w:r>
      <w:r w:rsidR="00AA74D1">
        <w:rPr>
          <w:rFonts w:ascii="Times New Roman" w:hAnsi="Times New Roman" w:cs="Times New Roman"/>
          <w:sz w:val="24"/>
          <w:szCs w:val="24"/>
        </w:rPr>
        <w:t>]</w:t>
      </w:r>
      <w:r w:rsidR="003C0E2B">
        <w:rPr>
          <w:rFonts w:ascii="Times New Roman" w:hAnsi="Times New Roman" w:cs="Times New Roman"/>
          <w:sz w:val="24"/>
          <w:szCs w:val="24"/>
        </w:rPr>
        <w:t xml:space="preserve"> Bestimmungen</w:t>
      </w:r>
      <w:r w:rsidR="00FC3E1C">
        <w:rPr>
          <w:rFonts w:ascii="Times New Roman" w:hAnsi="Times New Roman" w:cs="Times New Roman"/>
          <w:sz w:val="24"/>
          <w:szCs w:val="24"/>
        </w:rPr>
        <w:t>“ in der Satzung</w:t>
      </w:r>
      <w:r w:rsidR="003C0E2B">
        <w:rPr>
          <w:rFonts w:ascii="Times New Roman" w:hAnsi="Times New Roman" w:cs="Times New Roman"/>
          <w:sz w:val="24"/>
          <w:szCs w:val="24"/>
        </w:rPr>
        <w:t xml:space="preserve"> und damit die Zustimmung des Senats zur </w:t>
      </w:r>
      <w:r w:rsidR="008A6CF3">
        <w:rPr>
          <w:rFonts w:ascii="Times New Roman" w:hAnsi="Times New Roman" w:cs="Times New Roman"/>
          <w:sz w:val="24"/>
          <w:szCs w:val="24"/>
        </w:rPr>
        <w:t>Ausschreibung von Stellen nach</w:t>
      </w:r>
      <w:r w:rsidR="003C0E2B">
        <w:rPr>
          <w:rFonts w:ascii="Times New Roman" w:hAnsi="Times New Roman" w:cs="Times New Roman"/>
          <w:sz w:val="24"/>
          <w:szCs w:val="24"/>
        </w:rPr>
        <w:t xml:space="preserve"> § 99 Abs 4 UG </w:t>
      </w:r>
      <w:r w:rsidR="00FC3E1C">
        <w:rPr>
          <w:rFonts w:ascii="Times New Roman" w:hAnsi="Times New Roman" w:cs="Times New Roman"/>
          <w:sz w:val="24"/>
          <w:szCs w:val="24"/>
        </w:rPr>
        <w:t xml:space="preserve">zwingend </w:t>
      </w:r>
      <w:r w:rsidR="003C0E2B">
        <w:rPr>
          <w:rFonts w:ascii="Times New Roman" w:hAnsi="Times New Roman" w:cs="Times New Roman"/>
          <w:sz w:val="24"/>
          <w:szCs w:val="24"/>
        </w:rPr>
        <w:t>erforderlich ist</w:t>
      </w:r>
      <w:r w:rsidR="00FC3E1C">
        <w:rPr>
          <w:rFonts w:ascii="Times New Roman" w:hAnsi="Times New Roman" w:cs="Times New Roman"/>
          <w:sz w:val="24"/>
          <w:szCs w:val="24"/>
        </w:rPr>
        <w:t>.</w:t>
      </w:r>
    </w:p>
    <w:p w14:paraId="2554BA65" w14:textId="448730CE" w:rsidR="008C2B6F" w:rsidRDefault="00FC3E1C" w:rsidP="009978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 aufgezeigte Zusammenhang zwischen den Berufungsverfahren nach § 98 </w:t>
      </w:r>
      <w:r w:rsidR="008F0B83">
        <w:rPr>
          <w:rFonts w:ascii="Times New Roman" w:hAnsi="Times New Roman" w:cs="Times New Roman"/>
          <w:sz w:val="24"/>
          <w:szCs w:val="24"/>
        </w:rPr>
        <w:t xml:space="preserve">UG </w:t>
      </w:r>
      <w:r>
        <w:rPr>
          <w:rFonts w:ascii="Times New Roman" w:hAnsi="Times New Roman" w:cs="Times New Roman"/>
          <w:sz w:val="24"/>
          <w:szCs w:val="24"/>
        </w:rPr>
        <w:t xml:space="preserve">und nach § 99 Abs 4 UG </w:t>
      </w:r>
      <w:r w:rsidR="002829E8">
        <w:rPr>
          <w:rFonts w:ascii="Times New Roman" w:hAnsi="Times New Roman" w:cs="Times New Roman"/>
          <w:sz w:val="24"/>
          <w:szCs w:val="24"/>
        </w:rPr>
        <w:t>macht aber deutlich, welche Satzungsbestimmungen zulässig sind. D</w:t>
      </w:r>
      <w:r w:rsidR="008A6CF3">
        <w:rPr>
          <w:rFonts w:ascii="Times New Roman" w:hAnsi="Times New Roman" w:cs="Times New Roman"/>
          <w:sz w:val="24"/>
          <w:szCs w:val="24"/>
        </w:rPr>
        <w:t xml:space="preserve">as in § 99 Abs 4 UG vorgesehene Anhörungsrecht der Universitätsprofessor/inn/en des fachlichen Bereichs, dem die Stelle zugeordnet ist, </w:t>
      </w:r>
      <w:r w:rsidR="002829E8">
        <w:rPr>
          <w:rFonts w:ascii="Times New Roman" w:hAnsi="Times New Roman" w:cs="Times New Roman"/>
          <w:sz w:val="24"/>
          <w:szCs w:val="24"/>
        </w:rPr>
        <w:t xml:space="preserve">kann </w:t>
      </w:r>
      <w:r w:rsidR="008A6CF3">
        <w:rPr>
          <w:rFonts w:ascii="Times New Roman" w:hAnsi="Times New Roman" w:cs="Times New Roman"/>
          <w:sz w:val="24"/>
          <w:szCs w:val="24"/>
        </w:rPr>
        <w:t>in der Satzung</w:t>
      </w:r>
      <w:r w:rsidR="002829E8">
        <w:rPr>
          <w:rFonts w:ascii="Times New Roman" w:hAnsi="Times New Roman" w:cs="Times New Roman"/>
          <w:sz w:val="24"/>
          <w:szCs w:val="24"/>
        </w:rPr>
        <w:t xml:space="preserve"> zu einer weitergehenden Einbindung der fachzuständigen</w:t>
      </w:r>
      <w:r w:rsidR="008A6CF3">
        <w:rPr>
          <w:rFonts w:ascii="Times New Roman" w:hAnsi="Times New Roman" w:cs="Times New Roman"/>
          <w:sz w:val="24"/>
          <w:szCs w:val="24"/>
        </w:rPr>
        <w:t xml:space="preserve"> </w:t>
      </w:r>
      <w:r w:rsidR="002829E8">
        <w:rPr>
          <w:rFonts w:ascii="Times New Roman" w:hAnsi="Times New Roman" w:cs="Times New Roman"/>
          <w:sz w:val="24"/>
          <w:szCs w:val="24"/>
        </w:rPr>
        <w:t>Universitätsprofessor/inn/en „auch schon in früheren Verfahrensphasen oder im Rahmen einer Art Berufungskommission oder Auswahlpanel“ ausgebaut werden</w:t>
      </w:r>
      <w:r w:rsidR="002829E8">
        <w:rPr>
          <w:rStyle w:val="Funotenzeichen"/>
          <w:rFonts w:ascii="Times New Roman" w:hAnsi="Times New Roman" w:cs="Times New Roman"/>
          <w:sz w:val="24"/>
          <w:szCs w:val="24"/>
        </w:rPr>
        <w:footnoteReference w:id="56"/>
      </w:r>
      <w:r w:rsidR="002829E8">
        <w:rPr>
          <w:rFonts w:ascii="Times New Roman" w:hAnsi="Times New Roman" w:cs="Times New Roman"/>
          <w:sz w:val="24"/>
          <w:szCs w:val="24"/>
        </w:rPr>
        <w:t xml:space="preserve">. </w:t>
      </w:r>
      <w:r w:rsidR="00B51CC9">
        <w:rPr>
          <w:rFonts w:ascii="Times New Roman" w:hAnsi="Times New Roman" w:cs="Times New Roman"/>
          <w:sz w:val="24"/>
          <w:szCs w:val="24"/>
        </w:rPr>
        <w:t>Ebenso k</w:t>
      </w:r>
      <w:r w:rsidR="002007F5">
        <w:rPr>
          <w:rFonts w:ascii="Times New Roman" w:hAnsi="Times New Roman" w:cs="Times New Roman"/>
          <w:sz w:val="24"/>
          <w:szCs w:val="24"/>
        </w:rPr>
        <w:t>ann in der Satzung die Bestellung externer und interner Gutachter/innen vorgesehen werden</w:t>
      </w:r>
      <w:r w:rsidR="002007F5">
        <w:rPr>
          <w:rStyle w:val="Funotenzeichen"/>
          <w:rFonts w:ascii="Times New Roman" w:hAnsi="Times New Roman" w:cs="Times New Roman"/>
          <w:sz w:val="24"/>
          <w:szCs w:val="24"/>
        </w:rPr>
        <w:footnoteReference w:id="57"/>
      </w:r>
      <w:r w:rsidR="002007F5">
        <w:rPr>
          <w:rFonts w:ascii="Times New Roman" w:hAnsi="Times New Roman" w:cs="Times New Roman"/>
          <w:sz w:val="24"/>
          <w:szCs w:val="24"/>
        </w:rPr>
        <w:t xml:space="preserve">. Es gibt </w:t>
      </w:r>
      <w:r w:rsidR="00A965D1">
        <w:rPr>
          <w:rFonts w:ascii="Times New Roman" w:hAnsi="Times New Roman" w:cs="Times New Roman"/>
          <w:sz w:val="24"/>
          <w:szCs w:val="24"/>
        </w:rPr>
        <w:t xml:space="preserve">nämlich </w:t>
      </w:r>
      <w:r w:rsidR="002007F5">
        <w:rPr>
          <w:rFonts w:ascii="Times New Roman" w:hAnsi="Times New Roman" w:cs="Times New Roman"/>
          <w:sz w:val="24"/>
          <w:szCs w:val="24"/>
        </w:rPr>
        <w:t>keinen Grund anzunehmen, dass der in § 99 Abs 4 UG verfügte Ausschluss der</w:t>
      </w:r>
      <w:r w:rsidR="00FE1D4D">
        <w:rPr>
          <w:rFonts w:ascii="Times New Roman" w:hAnsi="Times New Roman" w:cs="Times New Roman"/>
          <w:sz w:val="24"/>
          <w:szCs w:val="24"/>
        </w:rPr>
        <w:t xml:space="preserve"> unmittelbaren Anwendung des § 98 UG den Satzungsgeber daran hindern soll, Verfahrenselemente des § 98 UG für Zwecke des Berufungsverfahrens nach § 99 Abs 4 UG zu übernehmen</w:t>
      </w:r>
      <w:r w:rsidR="00FE1D4D">
        <w:rPr>
          <w:rStyle w:val="Funotenzeichen"/>
          <w:rFonts w:ascii="Times New Roman" w:hAnsi="Times New Roman" w:cs="Times New Roman"/>
          <w:sz w:val="24"/>
          <w:szCs w:val="24"/>
        </w:rPr>
        <w:footnoteReference w:id="58"/>
      </w:r>
      <w:r w:rsidR="008C2B6F">
        <w:rPr>
          <w:rFonts w:ascii="Times New Roman" w:hAnsi="Times New Roman" w:cs="Times New Roman"/>
          <w:sz w:val="24"/>
          <w:szCs w:val="24"/>
        </w:rPr>
        <w:t xml:space="preserve">, </w:t>
      </w:r>
      <w:r w:rsidR="00EB7058">
        <w:rPr>
          <w:rFonts w:ascii="Times New Roman" w:hAnsi="Times New Roman" w:cs="Times New Roman"/>
          <w:sz w:val="24"/>
          <w:szCs w:val="24"/>
        </w:rPr>
        <w:t xml:space="preserve">soweit </w:t>
      </w:r>
      <w:r w:rsidR="008C2B6F">
        <w:rPr>
          <w:rFonts w:ascii="Times New Roman" w:hAnsi="Times New Roman" w:cs="Times New Roman"/>
          <w:sz w:val="24"/>
          <w:szCs w:val="24"/>
        </w:rPr>
        <w:t>es sich bei diesem Verfahren um ein – im Vergleich zu § 98 UG – „vereinfachtes“ Verfahren handelt</w:t>
      </w:r>
      <w:r w:rsidR="008C2B6F">
        <w:rPr>
          <w:rStyle w:val="Funotenzeichen"/>
          <w:rFonts w:ascii="Times New Roman" w:hAnsi="Times New Roman" w:cs="Times New Roman"/>
          <w:sz w:val="24"/>
          <w:szCs w:val="24"/>
        </w:rPr>
        <w:footnoteReference w:id="59"/>
      </w:r>
      <w:r w:rsidR="00EB7058">
        <w:rPr>
          <w:rFonts w:ascii="Times New Roman" w:hAnsi="Times New Roman" w:cs="Times New Roman"/>
          <w:sz w:val="24"/>
          <w:szCs w:val="24"/>
        </w:rPr>
        <w:t xml:space="preserve"> und die Zuständigkeit anderer gesetzlich vorgesehener Organe nicht beschnitten wird</w:t>
      </w:r>
      <w:r w:rsidR="00EB7058">
        <w:rPr>
          <w:rStyle w:val="Funotenzeichen"/>
          <w:rFonts w:ascii="Times New Roman" w:hAnsi="Times New Roman" w:cs="Times New Roman"/>
          <w:sz w:val="24"/>
          <w:szCs w:val="24"/>
        </w:rPr>
        <w:footnoteReference w:id="60"/>
      </w:r>
      <w:r w:rsidR="00FE1D4D">
        <w:rPr>
          <w:rFonts w:ascii="Times New Roman" w:hAnsi="Times New Roman" w:cs="Times New Roman"/>
          <w:sz w:val="24"/>
          <w:szCs w:val="24"/>
        </w:rPr>
        <w:t>.</w:t>
      </w:r>
      <w:r w:rsidR="002007F5">
        <w:rPr>
          <w:rFonts w:ascii="Times New Roman" w:hAnsi="Times New Roman" w:cs="Times New Roman"/>
          <w:sz w:val="24"/>
          <w:szCs w:val="24"/>
        </w:rPr>
        <w:t xml:space="preserve"> </w:t>
      </w:r>
      <w:r w:rsidR="007F1F14">
        <w:rPr>
          <w:rFonts w:ascii="Times New Roman" w:hAnsi="Times New Roman" w:cs="Times New Roman"/>
          <w:sz w:val="24"/>
          <w:szCs w:val="24"/>
        </w:rPr>
        <w:t>Genauso wie die Satzung für Verfahren nach § 98 UG die Durchführung von Hearings anordnen kann</w:t>
      </w:r>
      <w:r w:rsidR="007F1F14">
        <w:rPr>
          <w:rStyle w:val="Funotenzeichen"/>
          <w:rFonts w:ascii="Times New Roman" w:hAnsi="Times New Roman" w:cs="Times New Roman"/>
          <w:sz w:val="24"/>
          <w:szCs w:val="24"/>
        </w:rPr>
        <w:footnoteReference w:id="61"/>
      </w:r>
      <w:r w:rsidR="007F1F14">
        <w:rPr>
          <w:rFonts w:ascii="Times New Roman" w:hAnsi="Times New Roman" w:cs="Times New Roman"/>
          <w:sz w:val="24"/>
          <w:szCs w:val="24"/>
        </w:rPr>
        <w:t xml:space="preserve">, ist dies </w:t>
      </w:r>
      <w:r w:rsidR="008C2B6F">
        <w:rPr>
          <w:rFonts w:ascii="Times New Roman" w:hAnsi="Times New Roman" w:cs="Times New Roman"/>
          <w:sz w:val="24"/>
          <w:szCs w:val="24"/>
        </w:rPr>
        <w:t xml:space="preserve">daher </w:t>
      </w:r>
      <w:r w:rsidR="007F1F14">
        <w:rPr>
          <w:rFonts w:ascii="Times New Roman" w:hAnsi="Times New Roman" w:cs="Times New Roman"/>
          <w:sz w:val="24"/>
          <w:szCs w:val="24"/>
        </w:rPr>
        <w:t>auch für Verfahren nach § 99 Abs 4 UG zulässig</w:t>
      </w:r>
      <w:r w:rsidR="007F1F14">
        <w:rPr>
          <w:rStyle w:val="Funotenzeichen"/>
          <w:rFonts w:ascii="Times New Roman" w:hAnsi="Times New Roman" w:cs="Times New Roman"/>
          <w:sz w:val="24"/>
          <w:szCs w:val="24"/>
        </w:rPr>
        <w:footnoteReference w:id="62"/>
      </w:r>
      <w:r w:rsidR="007F1F14">
        <w:rPr>
          <w:rFonts w:ascii="Times New Roman" w:hAnsi="Times New Roman" w:cs="Times New Roman"/>
          <w:sz w:val="24"/>
          <w:szCs w:val="24"/>
        </w:rPr>
        <w:t>.</w:t>
      </w:r>
    </w:p>
    <w:p w14:paraId="2554BA66" w14:textId="29BC036A" w:rsidR="00F32992" w:rsidRDefault="008C2B6F" w:rsidP="00817B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Die Auswahlentscheidung selbst liegt nach § 99 Abs 4 vorletzter Satz bei der Rektorin oder beim Rektor. </w:t>
      </w:r>
      <w:r w:rsidRPr="00A65CAD">
        <w:rPr>
          <w:rFonts w:ascii="Times New Roman" w:hAnsi="Times New Roman" w:cs="Times New Roman"/>
          <w:i/>
          <w:sz w:val="24"/>
          <w:szCs w:val="24"/>
        </w:rPr>
        <w:t>Gamper</w:t>
      </w:r>
      <w:r>
        <w:rPr>
          <w:rFonts w:ascii="Times New Roman" w:hAnsi="Times New Roman" w:cs="Times New Roman"/>
          <w:sz w:val="24"/>
          <w:szCs w:val="24"/>
        </w:rPr>
        <w:t xml:space="preserve"> schließt </w:t>
      </w:r>
      <w:r w:rsidR="0027649A">
        <w:rPr>
          <w:rFonts w:ascii="Times New Roman" w:hAnsi="Times New Roman" w:cs="Times New Roman"/>
          <w:sz w:val="24"/>
          <w:szCs w:val="24"/>
        </w:rPr>
        <w:t xml:space="preserve">zurecht </w:t>
      </w:r>
      <w:r>
        <w:rPr>
          <w:rFonts w:ascii="Times New Roman" w:hAnsi="Times New Roman" w:cs="Times New Roman"/>
          <w:sz w:val="24"/>
          <w:szCs w:val="24"/>
        </w:rPr>
        <w:t>daraus, dass eine von den Universitätsprofessor/inn/en vorgenommene Reihung der Bewerber/innen nur unverbindlich sein kann</w:t>
      </w:r>
      <w:r w:rsidR="00205820">
        <w:rPr>
          <w:rStyle w:val="Funotenzeichen"/>
          <w:rFonts w:ascii="Times New Roman" w:hAnsi="Times New Roman" w:cs="Times New Roman"/>
          <w:sz w:val="24"/>
          <w:szCs w:val="24"/>
        </w:rPr>
        <w:footnoteReference w:id="63"/>
      </w:r>
      <w:r>
        <w:rPr>
          <w:rFonts w:ascii="Times New Roman" w:hAnsi="Times New Roman" w:cs="Times New Roman"/>
          <w:sz w:val="24"/>
          <w:szCs w:val="24"/>
        </w:rPr>
        <w:t xml:space="preserve">. </w:t>
      </w:r>
      <w:r w:rsidR="00DE31C4">
        <w:rPr>
          <w:rFonts w:ascii="Times New Roman" w:hAnsi="Times New Roman" w:cs="Times New Roman"/>
          <w:sz w:val="24"/>
          <w:szCs w:val="24"/>
        </w:rPr>
        <w:t xml:space="preserve">Denn wenn eine Rektorin oder ein Rektor keine Bewerber/innen auswählen dürfte, die nicht in einem Besetzungsvorschlag enthalten sind, könnte dies </w:t>
      </w:r>
      <w:r w:rsidR="004D7012">
        <w:rPr>
          <w:rFonts w:ascii="Times New Roman" w:hAnsi="Times New Roman" w:cs="Times New Roman"/>
          <w:sz w:val="24"/>
          <w:szCs w:val="24"/>
        </w:rPr>
        <w:t>ihre oder seine Zuständigkeiten beschneiden</w:t>
      </w:r>
      <w:r w:rsidR="00DE31C4">
        <w:rPr>
          <w:rFonts w:ascii="Times New Roman" w:hAnsi="Times New Roman" w:cs="Times New Roman"/>
          <w:sz w:val="24"/>
          <w:szCs w:val="24"/>
        </w:rPr>
        <w:t xml:space="preserve">. Nach § 98 Abs 7 UG hat nämlich die Rektorin oder der Rektor die Auswahlentscheidung „aus dem Besetzungsvorschlag zu treffen“, während § 99 Abs 4 UG eine derartige Einschränkung </w:t>
      </w:r>
      <w:r w:rsidR="000D48F8">
        <w:rPr>
          <w:rFonts w:ascii="Times New Roman" w:hAnsi="Times New Roman" w:cs="Times New Roman"/>
          <w:sz w:val="24"/>
          <w:szCs w:val="24"/>
        </w:rPr>
        <w:t xml:space="preserve">ihrer oder seiner Befugnisse </w:t>
      </w:r>
      <w:r w:rsidR="00DE31C4">
        <w:rPr>
          <w:rFonts w:ascii="Times New Roman" w:hAnsi="Times New Roman" w:cs="Times New Roman"/>
          <w:sz w:val="24"/>
          <w:szCs w:val="24"/>
        </w:rPr>
        <w:t>nicht vorsieht.</w:t>
      </w:r>
      <w:r w:rsidR="00DE31C4" w:rsidDel="00DE31C4">
        <w:rPr>
          <w:rFonts w:ascii="Times New Roman" w:hAnsi="Times New Roman" w:cs="Times New Roman"/>
          <w:sz w:val="24"/>
          <w:szCs w:val="24"/>
        </w:rPr>
        <w:t xml:space="preserve"> </w:t>
      </w:r>
    </w:p>
    <w:p w14:paraId="2554BA67" w14:textId="2CDBD020" w:rsidR="00531A17" w:rsidRDefault="00531A17" w:rsidP="00817B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Fraglich ist, in wessen Zuständigkeit die Durchführung der Ausschreibung fällt. </w:t>
      </w:r>
      <w:r w:rsidR="00C14CD5">
        <w:rPr>
          <w:rFonts w:ascii="Times New Roman" w:hAnsi="Times New Roman" w:cs="Times New Roman"/>
          <w:sz w:val="24"/>
          <w:szCs w:val="24"/>
        </w:rPr>
        <w:t xml:space="preserve">§ 98 UG ist in Verfahren nach § 99 Abs 4 UG nicht unmittelbar anwendbar. Die Vorschrift des § 98 Abs 2 UG, wonach jede Stelle vom Rektorat im In- und Ausland öffentlich auszuschreiben ist, kommt daher auch nicht zum Tragen. § 99 Abs 4 UG unterscheidet sich insoweit von </w:t>
      </w:r>
      <w:r w:rsidR="008F0B83">
        <w:rPr>
          <w:rFonts w:ascii="Times New Roman" w:hAnsi="Times New Roman" w:cs="Times New Roman"/>
          <w:sz w:val="24"/>
          <w:szCs w:val="24"/>
        </w:rPr>
        <w:t xml:space="preserve">der Regelung des </w:t>
      </w:r>
      <w:r w:rsidR="00C14CD5">
        <w:rPr>
          <w:rFonts w:ascii="Times New Roman" w:hAnsi="Times New Roman" w:cs="Times New Roman"/>
          <w:sz w:val="24"/>
          <w:szCs w:val="24"/>
        </w:rPr>
        <w:t xml:space="preserve">§ 99 Abs 1 UG, nach der bloß § 98 Abs 1 und Abs 3 bis 8 UG nicht anzuwenden ist. Der Grund, warum § 99 Abs 4 UG </w:t>
      </w:r>
      <w:r w:rsidR="000D48F8">
        <w:rPr>
          <w:rFonts w:ascii="Times New Roman" w:hAnsi="Times New Roman" w:cs="Times New Roman"/>
          <w:sz w:val="24"/>
          <w:szCs w:val="24"/>
        </w:rPr>
        <w:t xml:space="preserve">auch </w:t>
      </w:r>
      <w:r w:rsidR="00C14CD5">
        <w:rPr>
          <w:rFonts w:ascii="Times New Roman" w:hAnsi="Times New Roman" w:cs="Times New Roman"/>
          <w:sz w:val="24"/>
          <w:szCs w:val="24"/>
        </w:rPr>
        <w:t xml:space="preserve">die Anwendung des § 98 Abs 2 ausschließt, liegt darin, dass die öffentliche Ausschreibung im In- und Ausland unterbleiben </w:t>
      </w:r>
      <w:r w:rsidR="008035FA">
        <w:rPr>
          <w:rFonts w:ascii="Times New Roman" w:hAnsi="Times New Roman" w:cs="Times New Roman"/>
          <w:sz w:val="24"/>
          <w:szCs w:val="24"/>
        </w:rPr>
        <w:t>kann</w:t>
      </w:r>
      <w:r w:rsidR="00C14CD5">
        <w:rPr>
          <w:rFonts w:ascii="Times New Roman" w:hAnsi="Times New Roman" w:cs="Times New Roman"/>
          <w:sz w:val="24"/>
          <w:szCs w:val="24"/>
        </w:rPr>
        <w:t>. Die Veröffentlichung im Mitteilungsblatt genügt.</w:t>
      </w:r>
      <w:r w:rsidR="00A4628F">
        <w:rPr>
          <w:rFonts w:ascii="Times New Roman" w:hAnsi="Times New Roman" w:cs="Times New Roman"/>
          <w:sz w:val="24"/>
          <w:szCs w:val="24"/>
        </w:rPr>
        <w:t xml:space="preserve"> </w:t>
      </w:r>
      <w:r w:rsidR="00C14CD5">
        <w:rPr>
          <w:rFonts w:ascii="Times New Roman" w:hAnsi="Times New Roman" w:cs="Times New Roman"/>
          <w:sz w:val="24"/>
          <w:szCs w:val="24"/>
        </w:rPr>
        <w:t xml:space="preserve">Zweck dieser Regelung ist es </w:t>
      </w:r>
      <w:r w:rsidR="008F0B83">
        <w:rPr>
          <w:rFonts w:ascii="Times New Roman" w:hAnsi="Times New Roman" w:cs="Times New Roman"/>
          <w:sz w:val="24"/>
          <w:szCs w:val="24"/>
        </w:rPr>
        <w:t xml:space="preserve">aber </w:t>
      </w:r>
      <w:r w:rsidR="00C14CD5">
        <w:rPr>
          <w:rFonts w:ascii="Times New Roman" w:hAnsi="Times New Roman" w:cs="Times New Roman"/>
          <w:sz w:val="24"/>
          <w:szCs w:val="24"/>
        </w:rPr>
        <w:t xml:space="preserve">nicht, die Zuständigkeit des </w:t>
      </w:r>
      <m:oMath>
        <m:r>
          <w:rPr>
            <w:rFonts w:ascii="Cambria Math" w:hAnsi="Cambria Math" w:cs="Times New Roman"/>
            <w:sz w:val="24"/>
            <w:szCs w:val="24"/>
          </w:rPr>
          <m:t>Rektorats</m:t>
        </m:r>
      </m:oMath>
      <w:r w:rsidR="00C14CD5">
        <w:rPr>
          <w:rFonts w:ascii="Times New Roman" w:hAnsi="Times New Roman" w:cs="Times New Roman"/>
          <w:sz w:val="24"/>
          <w:szCs w:val="24"/>
        </w:rPr>
        <w:t xml:space="preserve"> </w:t>
      </w:r>
      <w:r w:rsidR="0092387B">
        <w:rPr>
          <w:rFonts w:ascii="Times New Roman" w:hAnsi="Times New Roman" w:cs="Times New Roman"/>
          <w:sz w:val="24"/>
          <w:szCs w:val="24"/>
        </w:rPr>
        <w:t xml:space="preserve">zur Vornahme der Ausschreibung </w:t>
      </w:r>
      <w:r w:rsidR="00C14CD5">
        <w:rPr>
          <w:rFonts w:ascii="Times New Roman" w:hAnsi="Times New Roman" w:cs="Times New Roman"/>
          <w:sz w:val="24"/>
          <w:szCs w:val="24"/>
        </w:rPr>
        <w:t xml:space="preserve">zu beseitigen. Die Zuständigkeit des Rektorats ergibt sich </w:t>
      </w:r>
      <w:r w:rsidR="008F0B83">
        <w:rPr>
          <w:rFonts w:ascii="Times New Roman" w:hAnsi="Times New Roman" w:cs="Times New Roman"/>
          <w:sz w:val="24"/>
          <w:szCs w:val="24"/>
        </w:rPr>
        <w:t>mangels Anwendbarkeit des § 98 Abs 2 UG</w:t>
      </w:r>
      <w:r w:rsidR="00C14CD5">
        <w:rPr>
          <w:rFonts w:ascii="Times New Roman" w:hAnsi="Times New Roman" w:cs="Times New Roman"/>
          <w:sz w:val="24"/>
          <w:szCs w:val="24"/>
        </w:rPr>
        <w:t xml:space="preserve"> aus der subsidiär </w:t>
      </w:r>
      <w:r w:rsidR="008F0B83">
        <w:rPr>
          <w:rFonts w:ascii="Times New Roman" w:hAnsi="Times New Roman" w:cs="Times New Roman"/>
          <w:sz w:val="24"/>
          <w:szCs w:val="24"/>
        </w:rPr>
        <w:t>maßgebenden</w:t>
      </w:r>
      <w:r w:rsidR="00C14CD5">
        <w:rPr>
          <w:rFonts w:ascii="Times New Roman" w:hAnsi="Times New Roman" w:cs="Times New Roman"/>
          <w:sz w:val="24"/>
          <w:szCs w:val="24"/>
        </w:rPr>
        <w:t xml:space="preserve"> </w:t>
      </w:r>
      <w:r w:rsidR="008F0B83">
        <w:rPr>
          <w:rFonts w:ascii="Times New Roman" w:hAnsi="Times New Roman" w:cs="Times New Roman"/>
          <w:sz w:val="24"/>
          <w:szCs w:val="24"/>
        </w:rPr>
        <w:t>Vorschrift</w:t>
      </w:r>
      <w:r w:rsidR="00C14CD5">
        <w:rPr>
          <w:rFonts w:ascii="Times New Roman" w:hAnsi="Times New Roman" w:cs="Times New Roman"/>
          <w:sz w:val="24"/>
          <w:szCs w:val="24"/>
        </w:rPr>
        <w:t xml:space="preserve"> des § 22 Abs 1 UG</w:t>
      </w:r>
      <w:r w:rsidR="0092387B">
        <w:rPr>
          <w:rFonts w:ascii="Times New Roman" w:hAnsi="Times New Roman" w:cs="Times New Roman"/>
          <w:sz w:val="24"/>
          <w:szCs w:val="24"/>
        </w:rPr>
        <w:t>, der auch nicht durch eine Satzungsbestimmung derogiert werden darf</w:t>
      </w:r>
      <w:r w:rsidR="008F0B83">
        <w:rPr>
          <w:rStyle w:val="Funotenzeichen"/>
          <w:rFonts w:ascii="Times New Roman" w:hAnsi="Times New Roman" w:cs="Times New Roman"/>
          <w:sz w:val="24"/>
          <w:szCs w:val="24"/>
        </w:rPr>
        <w:footnoteReference w:id="64"/>
      </w:r>
      <w:r w:rsidR="008F0B83">
        <w:rPr>
          <w:rFonts w:ascii="Times New Roman" w:hAnsi="Times New Roman" w:cs="Times New Roman"/>
          <w:sz w:val="24"/>
          <w:szCs w:val="24"/>
        </w:rPr>
        <w:t>.</w:t>
      </w:r>
      <w:r w:rsidR="00C14CD5">
        <w:rPr>
          <w:rFonts w:ascii="Times New Roman" w:hAnsi="Times New Roman" w:cs="Times New Roman"/>
          <w:sz w:val="24"/>
          <w:szCs w:val="24"/>
        </w:rPr>
        <w:t xml:space="preserve"> </w:t>
      </w:r>
      <w:r w:rsidR="00DE31C4">
        <w:rPr>
          <w:rFonts w:ascii="Times New Roman" w:hAnsi="Times New Roman" w:cs="Times New Roman"/>
          <w:sz w:val="24"/>
          <w:szCs w:val="24"/>
        </w:rPr>
        <w:t xml:space="preserve">Alternativ bietet sich § 107 Abs 1 </w:t>
      </w:r>
      <w:r w:rsidR="00DE31C4" w:rsidRPr="00986685">
        <w:rPr>
          <w:rFonts w:ascii="Times New Roman" w:hAnsi="Times New Roman" w:cs="Times New Roman"/>
          <w:i/>
          <w:sz w:val="24"/>
          <w:szCs w:val="24"/>
        </w:rPr>
        <w:t>Satz 1</w:t>
      </w:r>
      <w:r w:rsidR="00DE31C4">
        <w:rPr>
          <w:rFonts w:ascii="Times New Roman" w:hAnsi="Times New Roman" w:cs="Times New Roman"/>
          <w:sz w:val="24"/>
          <w:szCs w:val="24"/>
        </w:rPr>
        <w:t xml:space="preserve"> UG als Recht</w:t>
      </w:r>
      <w:r w:rsidR="00D95590">
        <w:rPr>
          <w:rFonts w:ascii="Times New Roman" w:hAnsi="Times New Roman" w:cs="Times New Roman"/>
          <w:sz w:val="24"/>
          <w:szCs w:val="24"/>
        </w:rPr>
        <w:t>s</w:t>
      </w:r>
      <w:r w:rsidR="00DE31C4">
        <w:rPr>
          <w:rFonts w:ascii="Times New Roman" w:hAnsi="Times New Roman" w:cs="Times New Roman"/>
          <w:sz w:val="24"/>
          <w:szCs w:val="24"/>
        </w:rPr>
        <w:t xml:space="preserve">grundlage an: Nach dieser Vorschrift sind alle zur Besetzung offen stehenden Stellen „vom Rektorat öffentlich auszuschreiben“. </w:t>
      </w:r>
      <w:r w:rsidR="00D95590">
        <w:rPr>
          <w:rFonts w:ascii="Times New Roman" w:hAnsi="Times New Roman" w:cs="Times New Roman"/>
          <w:sz w:val="24"/>
          <w:szCs w:val="24"/>
        </w:rPr>
        <w:t xml:space="preserve">Die Verpflichtung, Stellen für das wissenschaftliche und künstlerische Personal gemäß § 94 Abs 1 Z 4 „international, zumindest EU-weit auszuschreiben“, ergibt sich erst aus § 107 Abs 1 </w:t>
      </w:r>
      <w:r w:rsidR="00D95590" w:rsidRPr="00986685">
        <w:rPr>
          <w:rFonts w:ascii="Times New Roman" w:hAnsi="Times New Roman" w:cs="Times New Roman"/>
          <w:i/>
          <w:sz w:val="24"/>
          <w:szCs w:val="24"/>
        </w:rPr>
        <w:t>Satz 2</w:t>
      </w:r>
      <w:r w:rsidR="00D95590">
        <w:rPr>
          <w:rFonts w:ascii="Times New Roman" w:hAnsi="Times New Roman" w:cs="Times New Roman"/>
          <w:sz w:val="24"/>
          <w:szCs w:val="24"/>
        </w:rPr>
        <w:t xml:space="preserve"> UG. Nur dieser Vorschrift wird durch § 99 Abs 4 Satz 2 und Satz 3 derogiert</w:t>
      </w:r>
      <w:r w:rsidR="000D48F8">
        <w:rPr>
          <w:rStyle w:val="Funotenzeichen"/>
          <w:rFonts w:ascii="Times New Roman" w:hAnsi="Times New Roman" w:cs="Times New Roman"/>
          <w:sz w:val="24"/>
          <w:szCs w:val="24"/>
        </w:rPr>
        <w:footnoteReference w:id="65"/>
      </w:r>
      <w:r w:rsidR="00D95590">
        <w:rPr>
          <w:rFonts w:ascii="Times New Roman" w:hAnsi="Times New Roman" w:cs="Times New Roman"/>
          <w:sz w:val="24"/>
          <w:szCs w:val="24"/>
        </w:rPr>
        <w:t xml:space="preserve">. § 107 Abs 1 </w:t>
      </w:r>
      <w:r w:rsidR="00D95590" w:rsidRPr="00986685">
        <w:rPr>
          <w:rFonts w:ascii="Times New Roman" w:hAnsi="Times New Roman" w:cs="Times New Roman"/>
          <w:i/>
          <w:sz w:val="24"/>
          <w:szCs w:val="24"/>
        </w:rPr>
        <w:t>Satz 1</w:t>
      </w:r>
      <w:r w:rsidR="00D95590">
        <w:rPr>
          <w:rFonts w:ascii="Times New Roman" w:hAnsi="Times New Roman" w:cs="Times New Roman"/>
          <w:sz w:val="24"/>
          <w:szCs w:val="24"/>
        </w:rPr>
        <w:t xml:space="preserve"> UG bleibt für Zwecke des § 99 Abs 4 UG weiterhin anwendbar</w:t>
      </w:r>
      <w:r w:rsidR="000D48F8">
        <w:rPr>
          <w:rFonts w:ascii="Times New Roman" w:hAnsi="Times New Roman" w:cs="Times New Roman"/>
          <w:sz w:val="24"/>
          <w:szCs w:val="24"/>
        </w:rPr>
        <w:t>.</w:t>
      </w:r>
      <w:r w:rsidR="00D95590">
        <w:rPr>
          <w:rFonts w:ascii="Times New Roman" w:hAnsi="Times New Roman" w:cs="Times New Roman"/>
          <w:sz w:val="24"/>
          <w:szCs w:val="24"/>
        </w:rPr>
        <w:t xml:space="preserve">  </w:t>
      </w:r>
      <w:r w:rsidR="00DE31C4">
        <w:rPr>
          <w:rFonts w:ascii="Times New Roman" w:hAnsi="Times New Roman" w:cs="Times New Roman"/>
          <w:sz w:val="24"/>
          <w:szCs w:val="24"/>
        </w:rPr>
        <w:t xml:space="preserve"> </w:t>
      </w:r>
    </w:p>
    <w:p w14:paraId="34FE2C6D" w14:textId="1266A187" w:rsidR="00B0581F" w:rsidRDefault="00F32992" w:rsidP="00817BC9">
      <w:pPr>
        <w:spacing w:line="360" w:lineRule="auto"/>
        <w:jc w:val="both"/>
        <w:rPr>
          <w:rFonts w:ascii="Times New Roman" w:hAnsi="Times New Roman" w:cs="Times New Roman"/>
          <w:sz w:val="24"/>
          <w:szCs w:val="24"/>
        </w:rPr>
      </w:pPr>
      <w:r w:rsidRPr="00A4628F">
        <w:rPr>
          <w:rFonts w:ascii="Times New Roman" w:hAnsi="Times New Roman" w:cs="Times New Roman"/>
          <w:i/>
          <w:sz w:val="24"/>
          <w:szCs w:val="24"/>
        </w:rPr>
        <w:t>Perle</w:t>
      </w:r>
      <w:r>
        <w:rPr>
          <w:rFonts w:ascii="Times New Roman" w:hAnsi="Times New Roman" w:cs="Times New Roman"/>
          <w:sz w:val="24"/>
          <w:szCs w:val="24"/>
        </w:rPr>
        <w:t xml:space="preserve"> </w:t>
      </w:r>
      <w:r w:rsidR="00DC02F5">
        <w:rPr>
          <w:rFonts w:ascii="Times New Roman" w:hAnsi="Times New Roman" w:cs="Times New Roman"/>
          <w:sz w:val="24"/>
          <w:szCs w:val="24"/>
        </w:rPr>
        <w:t>erachtet es als unzulässig</w:t>
      </w:r>
      <w:r>
        <w:rPr>
          <w:rFonts w:ascii="Times New Roman" w:hAnsi="Times New Roman" w:cs="Times New Roman"/>
          <w:sz w:val="24"/>
          <w:szCs w:val="24"/>
        </w:rPr>
        <w:t>, die Entscheidung, ob ein</w:t>
      </w:r>
      <w:r w:rsidR="00965CEC">
        <w:rPr>
          <w:rFonts w:ascii="Times New Roman" w:hAnsi="Times New Roman" w:cs="Times New Roman"/>
          <w:sz w:val="24"/>
          <w:szCs w:val="24"/>
        </w:rPr>
        <w:t xml:space="preserve">e Universitätsprofessorin oder ein </w:t>
      </w:r>
      <w:r>
        <w:rPr>
          <w:rFonts w:ascii="Times New Roman" w:hAnsi="Times New Roman" w:cs="Times New Roman"/>
          <w:sz w:val="24"/>
          <w:szCs w:val="24"/>
        </w:rPr>
        <w:t xml:space="preserve"> Universitätsprofessor nach § 99 Abs 4 UG unbefristet oder befristet bestellt wird, in der Satzung zu treffen</w:t>
      </w:r>
      <w:r w:rsidR="00DC02F5">
        <w:rPr>
          <w:rStyle w:val="Funotenzeichen"/>
          <w:rFonts w:ascii="Times New Roman" w:hAnsi="Times New Roman" w:cs="Times New Roman"/>
          <w:sz w:val="24"/>
          <w:szCs w:val="24"/>
        </w:rPr>
        <w:footnoteReference w:id="66"/>
      </w:r>
      <w:r>
        <w:rPr>
          <w:rFonts w:ascii="Times New Roman" w:hAnsi="Times New Roman" w:cs="Times New Roman"/>
          <w:sz w:val="24"/>
          <w:szCs w:val="24"/>
        </w:rPr>
        <w:t xml:space="preserve">. Sie bezieht sich dabei auf die Vorschrift des § 19 UG, aus der ihrer Auffassung nach hervorgeht, dass die Satzung „im Allgemeinen </w:t>
      </w:r>
      <w:r w:rsidR="009922F6">
        <w:rPr>
          <w:rFonts w:ascii="Times New Roman" w:hAnsi="Times New Roman" w:cs="Times New Roman"/>
          <w:sz w:val="24"/>
          <w:szCs w:val="24"/>
        </w:rPr>
        <w:t>[</w:t>
      </w:r>
      <w:r>
        <w:rPr>
          <w:rFonts w:ascii="Times New Roman" w:hAnsi="Times New Roman" w:cs="Times New Roman"/>
          <w:sz w:val="24"/>
          <w:szCs w:val="24"/>
        </w:rPr>
        <w:t xml:space="preserve">…] organisatorische oder prozedurale Inhalte“, nicht aber „materiell-arbeitsrechtliche Inhalte“ regeln kann. Allerdings </w:t>
      </w:r>
      <w:r w:rsidR="00B35EF4">
        <w:rPr>
          <w:rFonts w:ascii="Times New Roman" w:hAnsi="Times New Roman" w:cs="Times New Roman"/>
          <w:sz w:val="24"/>
          <w:szCs w:val="24"/>
        </w:rPr>
        <w:t xml:space="preserve">lassen sich </w:t>
      </w:r>
      <w:r>
        <w:rPr>
          <w:rFonts w:ascii="Times New Roman" w:hAnsi="Times New Roman" w:cs="Times New Roman"/>
          <w:sz w:val="24"/>
          <w:szCs w:val="24"/>
        </w:rPr>
        <w:t>die von § 19 Abs 1 und 2 UG umfassten „Ordnungsvorschriften“ keineswegs trennscharf abgrenzen</w:t>
      </w:r>
      <w:r>
        <w:rPr>
          <w:rStyle w:val="Funotenzeichen"/>
          <w:rFonts w:ascii="Times New Roman" w:hAnsi="Times New Roman" w:cs="Times New Roman"/>
          <w:sz w:val="24"/>
          <w:szCs w:val="24"/>
        </w:rPr>
        <w:footnoteReference w:id="67"/>
      </w:r>
      <w:r>
        <w:rPr>
          <w:rFonts w:ascii="Times New Roman" w:hAnsi="Times New Roman" w:cs="Times New Roman"/>
          <w:sz w:val="24"/>
          <w:szCs w:val="24"/>
        </w:rPr>
        <w:t>. Darüber hinaus verläuft auch die Grenze zwischen Verfahrensrecht und materiellem Recht fließend</w:t>
      </w:r>
      <w:r>
        <w:rPr>
          <w:rStyle w:val="Funotenzeichen"/>
          <w:rFonts w:ascii="Times New Roman" w:hAnsi="Times New Roman" w:cs="Times New Roman"/>
          <w:sz w:val="24"/>
          <w:szCs w:val="24"/>
        </w:rPr>
        <w:footnoteReference w:id="68"/>
      </w:r>
      <w:r>
        <w:rPr>
          <w:rFonts w:ascii="Times New Roman" w:hAnsi="Times New Roman" w:cs="Times New Roman"/>
          <w:sz w:val="24"/>
          <w:szCs w:val="24"/>
        </w:rPr>
        <w:t>. Das zeigt sich auch an diesem Beispiel: We</w:t>
      </w:r>
      <w:r w:rsidR="00343DA3">
        <w:rPr>
          <w:rFonts w:ascii="Times New Roman" w:hAnsi="Times New Roman" w:cs="Times New Roman"/>
          <w:sz w:val="24"/>
          <w:szCs w:val="24"/>
        </w:rPr>
        <w:t>nn</w:t>
      </w:r>
      <w:r>
        <w:rPr>
          <w:rFonts w:ascii="Times New Roman" w:hAnsi="Times New Roman" w:cs="Times New Roman"/>
          <w:sz w:val="24"/>
          <w:szCs w:val="24"/>
        </w:rPr>
        <w:t xml:space="preserve"> de</w:t>
      </w:r>
      <w:r w:rsidR="00343DA3">
        <w:rPr>
          <w:rFonts w:ascii="Times New Roman" w:hAnsi="Times New Roman" w:cs="Times New Roman"/>
          <w:sz w:val="24"/>
          <w:szCs w:val="24"/>
        </w:rPr>
        <w:t>r</w:t>
      </w:r>
      <w:r>
        <w:rPr>
          <w:rFonts w:ascii="Times New Roman" w:hAnsi="Times New Roman" w:cs="Times New Roman"/>
          <w:sz w:val="24"/>
          <w:szCs w:val="24"/>
        </w:rPr>
        <w:t xml:space="preserve"> Satzungsgeber zur Regelung des Verfahrens </w:t>
      </w:r>
      <w:r w:rsidR="00343DA3">
        <w:rPr>
          <w:rFonts w:ascii="Times New Roman" w:hAnsi="Times New Roman" w:cs="Times New Roman"/>
          <w:sz w:val="24"/>
          <w:szCs w:val="24"/>
        </w:rPr>
        <w:t>zuständig ist</w:t>
      </w:r>
      <w:r w:rsidR="00797B8E">
        <w:rPr>
          <w:rFonts w:ascii="Times New Roman" w:hAnsi="Times New Roman" w:cs="Times New Roman"/>
          <w:sz w:val="24"/>
          <w:szCs w:val="24"/>
        </w:rPr>
        <w:t xml:space="preserve"> und man mit </w:t>
      </w:r>
      <w:r w:rsidR="00797B8E" w:rsidRPr="00986685">
        <w:rPr>
          <w:rFonts w:ascii="Times New Roman" w:hAnsi="Times New Roman" w:cs="Times New Roman"/>
          <w:i/>
          <w:sz w:val="24"/>
          <w:szCs w:val="24"/>
        </w:rPr>
        <w:t>Perle</w:t>
      </w:r>
      <w:r w:rsidR="00797B8E">
        <w:rPr>
          <w:rStyle w:val="Funotenzeichen"/>
          <w:rFonts w:ascii="Times New Roman" w:hAnsi="Times New Roman" w:cs="Times New Roman"/>
          <w:i/>
          <w:sz w:val="24"/>
          <w:szCs w:val="24"/>
        </w:rPr>
        <w:footnoteReference w:id="69"/>
      </w:r>
      <w:r w:rsidR="00797B8E">
        <w:rPr>
          <w:rFonts w:ascii="Times New Roman" w:hAnsi="Times New Roman" w:cs="Times New Roman"/>
          <w:sz w:val="24"/>
          <w:szCs w:val="24"/>
        </w:rPr>
        <w:t xml:space="preserve"> – entgegen der hier vertretenen Auffassung</w:t>
      </w:r>
      <w:r w:rsidR="00797B8E">
        <w:rPr>
          <w:rStyle w:val="Funotenzeichen"/>
          <w:rFonts w:ascii="Times New Roman" w:hAnsi="Times New Roman" w:cs="Times New Roman"/>
          <w:sz w:val="24"/>
          <w:szCs w:val="24"/>
        </w:rPr>
        <w:footnoteReference w:id="70"/>
      </w:r>
      <w:r w:rsidR="00797B8E">
        <w:rPr>
          <w:rFonts w:ascii="Times New Roman" w:hAnsi="Times New Roman" w:cs="Times New Roman"/>
          <w:sz w:val="24"/>
          <w:szCs w:val="24"/>
        </w:rPr>
        <w:t xml:space="preserve"> – davon ausgeht, dass „nähere Bestimmungen“ in der Satzung zwingend erforderlich sind</w:t>
      </w:r>
      <w:r w:rsidR="00343DA3">
        <w:rPr>
          <w:rFonts w:ascii="Times New Roman" w:hAnsi="Times New Roman" w:cs="Times New Roman"/>
          <w:sz w:val="24"/>
          <w:szCs w:val="24"/>
        </w:rPr>
        <w:t xml:space="preserve">, </w:t>
      </w:r>
      <w:r w:rsidR="00D65BB5">
        <w:rPr>
          <w:rFonts w:ascii="Times New Roman" w:hAnsi="Times New Roman" w:cs="Times New Roman"/>
          <w:sz w:val="24"/>
          <w:szCs w:val="24"/>
        </w:rPr>
        <w:t>könnte</w:t>
      </w:r>
      <w:r w:rsidR="00B0581F">
        <w:rPr>
          <w:rFonts w:ascii="Times New Roman" w:hAnsi="Times New Roman" w:cs="Times New Roman"/>
          <w:sz w:val="24"/>
          <w:szCs w:val="24"/>
        </w:rPr>
        <w:t>n</w:t>
      </w:r>
      <w:r w:rsidR="00D65BB5">
        <w:rPr>
          <w:rFonts w:ascii="Times New Roman" w:hAnsi="Times New Roman" w:cs="Times New Roman"/>
          <w:sz w:val="24"/>
          <w:szCs w:val="24"/>
        </w:rPr>
        <w:t xml:space="preserve"> </w:t>
      </w:r>
      <w:r w:rsidR="00343DA3">
        <w:rPr>
          <w:rFonts w:ascii="Times New Roman" w:hAnsi="Times New Roman" w:cs="Times New Roman"/>
          <w:sz w:val="24"/>
          <w:szCs w:val="24"/>
        </w:rPr>
        <w:t>Satzungsvorschriften</w:t>
      </w:r>
      <w:r w:rsidR="00B0581F">
        <w:rPr>
          <w:rFonts w:ascii="Times New Roman" w:hAnsi="Times New Roman" w:cs="Times New Roman"/>
          <w:sz w:val="24"/>
          <w:szCs w:val="24"/>
        </w:rPr>
        <w:t xml:space="preserve">, die </w:t>
      </w:r>
      <w:r w:rsidR="00233DFF">
        <w:rPr>
          <w:rFonts w:ascii="Times New Roman" w:hAnsi="Times New Roman" w:cs="Times New Roman"/>
          <w:sz w:val="24"/>
          <w:szCs w:val="24"/>
        </w:rPr>
        <w:t xml:space="preserve">für Zwecke des § 99 Abs 4 UG </w:t>
      </w:r>
      <w:r w:rsidR="00B0581F">
        <w:rPr>
          <w:rFonts w:ascii="Times New Roman" w:hAnsi="Times New Roman" w:cs="Times New Roman"/>
          <w:sz w:val="24"/>
          <w:szCs w:val="24"/>
        </w:rPr>
        <w:t>ausdrücklich nur das Verfahren für die befristete Bestellung von Universitätsprofessor/inn/en regeln, zur Folge haben, dass unbefristete Bestellungen</w:t>
      </w:r>
      <w:r w:rsidR="00343DA3">
        <w:rPr>
          <w:rFonts w:ascii="Times New Roman" w:hAnsi="Times New Roman" w:cs="Times New Roman"/>
          <w:sz w:val="24"/>
          <w:szCs w:val="24"/>
        </w:rPr>
        <w:t xml:space="preserve"> gar nicht zulässig sind und Universitätsprofessor/inn/en nach § 99 Abs </w:t>
      </w:r>
      <w:r w:rsidR="0038707C">
        <w:rPr>
          <w:rFonts w:ascii="Times New Roman" w:hAnsi="Times New Roman" w:cs="Times New Roman"/>
          <w:sz w:val="24"/>
          <w:szCs w:val="24"/>
        </w:rPr>
        <w:t xml:space="preserve">4 </w:t>
      </w:r>
      <w:r w:rsidR="00343DA3">
        <w:rPr>
          <w:rFonts w:ascii="Times New Roman" w:hAnsi="Times New Roman" w:cs="Times New Roman"/>
          <w:sz w:val="24"/>
          <w:szCs w:val="24"/>
        </w:rPr>
        <w:t xml:space="preserve">UG nur befristet bestellt werden dürfen. Die Existenz verfahrensrechtlicher Vorschriften oder ihr Fehlen </w:t>
      </w:r>
      <w:r w:rsidR="00D65BB5">
        <w:rPr>
          <w:rFonts w:ascii="Times New Roman" w:hAnsi="Times New Roman" w:cs="Times New Roman"/>
          <w:sz w:val="24"/>
          <w:szCs w:val="24"/>
        </w:rPr>
        <w:t xml:space="preserve">hätte </w:t>
      </w:r>
      <w:r w:rsidR="00343DA3">
        <w:rPr>
          <w:rFonts w:ascii="Times New Roman" w:hAnsi="Times New Roman" w:cs="Times New Roman"/>
          <w:sz w:val="24"/>
          <w:szCs w:val="24"/>
        </w:rPr>
        <w:t xml:space="preserve">dann materiell-rechtliche Auswirkungen. Geht man aber mit </w:t>
      </w:r>
      <w:r w:rsidR="00343DA3" w:rsidRPr="00E875F4">
        <w:rPr>
          <w:rFonts w:ascii="Times New Roman" w:hAnsi="Times New Roman" w:cs="Times New Roman"/>
          <w:i/>
          <w:sz w:val="24"/>
          <w:szCs w:val="24"/>
        </w:rPr>
        <w:t>Perle</w:t>
      </w:r>
      <w:r w:rsidR="00343DA3">
        <w:rPr>
          <w:rFonts w:ascii="Times New Roman" w:hAnsi="Times New Roman" w:cs="Times New Roman"/>
          <w:sz w:val="24"/>
          <w:szCs w:val="24"/>
        </w:rPr>
        <w:t xml:space="preserve"> </w:t>
      </w:r>
      <w:r w:rsidR="00D65BB5">
        <w:rPr>
          <w:rFonts w:ascii="Times New Roman" w:hAnsi="Times New Roman" w:cs="Times New Roman"/>
          <w:sz w:val="24"/>
          <w:szCs w:val="24"/>
        </w:rPr>
        <w:t xml:space="preserve">auch </w:t>
      </w:r>
      <w:r w:rsidR="00343DA3">
        <w:rPr>
          <w:rFonts w:ascii="Times New Roman" w:hAnsi="Times New Roman" w:cs="Times New Roman"/>
          <w:sz w:val="24"/>
          <w:szCs w:val="24"/>
        </w:rPr>
        <w:t xml:space="preserve">davon aus, dass bestimmte materiell-rechtliche Regelungen – insbesondere auf dem Gebiet des Arbeitsrechts – gar nicht in </w:t>
      </w:r>
      <w:r w:rsidR="00B35EF4">
        <w:rPr>
          <w:rFonts w:ascii="Times New Roman" w:hAnsi="Times New Roman" w:cs="Times New Roman"/>
          <w:sz w:val="24"/>
          <w:szCs w:val="24"/>
        </w:rPr>
        <w:t xml:space="preserve">die </w:t>
      </w:r>
      <w:r w:rsidR="00343DA3">
        <w:rPr>
          <w:rFonts w:ascii="Times New Roman" w:hAnsi="Times New Roman" w:cs="Times New Roman"/>
          <w:sz w:val="24"/>
          <w:szCs w:val="24"/>
        </w:rPr>
        <w:t xml:space="preserve">Satzung </w:t>
      </w:r>
      <w:r w:rsidR="00B35EF4">
        <w:rPr>
          <w:rFonts w:ascii="Times New Roman" w:hAnsi="Times New Roman" w:cs="Times New Roman"/>
          <w:sz w:val="24"/>
          <w:szCs w:val="24"/>
        </w:rPr>
        <w:t xml:space="preserve">aufgenommen </w:t>
      </w:r>
      <w:r w:rsidR="00343DA3">
        <w:rPr>
          <w:rFonts w:ascii="Times New Roman" w:hAnsi="Times New Roman" w:cs="Times New Roman"/>
          <w:sz w:val="24"/>
          <w:szCs w:val="24"/>
        </w:rPr>
        <w:t>werden dürfen</w:t>
      </w:r>
      <w:r w:rsidR="00E875F4">
        <w:rPr>
          <w:rStyle w:val="Funotenzeichen"/>
          <w:rFonts w:ascii="Times New Roman" w:hAnsi="Times New Roman" w:cs="Times New Roman"/>
          <w:sz w:val="24"/>
          <w:szCs w:val="24"/>
        </w:rPr>
        <w:footnoteReference w:id="71"/>
      </w:r>
      <w:r w:rsidR="00343DA3">
        <w:rPr>
          <w:rFonts w:ascii="Times New Roman" w:hAnsi="Times New Roman" w:cs="Times New Roman"/>
          <w:sz w:val="24"/>
          <w:szCs w:val="24"/>
        </w:rPr>
        <w:t xml:space="preserve">, wird man diese Annahme </w:t>
      </w:r>
      <w:r w:rsidR="00975A2F">
        <w:rPr>
          <w:rFonts w:ascii="Times New Roman" w:hAnsi="Times New Roman" w:cs="Times New Roman"/>
          <w:sz w:val="24"/>
          <w:szCs w:val="24"/>
        </w:rPr>
        <w:t xml:space="preserve">aus den gerade genannten Gründen </w:t>
      </w:r>
      <w:r w:rsidR="00343DA3">
        <w:rPr>
          <w:rFonts w:ascii="Times New Roman" w:hAnsi="Times New Roman" w:cs="Times New Roman"/>
          <w:sz w:val="24"/>
          <w:szCs w:val="24"/>
        </w:rPr>
        <w:t>auch auf eng mit diesen Vorschriften zusammenhängende verfahrensrechtliche Vorschriften übertragen müssen</w:t>
      </w:r>
      <w:r w:rsidR="00343DA3">
        <w:rPr>
          <w:rStyle w:val="Funotenzeichen"/>
          <w:rFonts w:ascii="Times New Roman" w:hAnsi="Times New Roman" w:cs="Times New Roman"/>
          <w:sz w:val="24"/>
          <w:szCs w:val="24"/>
        </w:rPr>
        <w:footnoteReference w:id="72"/>
      </w:r>
      <w:r w:rsidR="00343DA3">
        <w:rPr>
          <w:rFonts w:ascii="Times New Roman" w:hAnsi="Times New Roman" w:cs="Times New Roman"/>
          <w:sz w:val="24"/>
          <w:szCs w:val="24"/>
        </w:rPr>
        <w:t>.</w:t>
      </w:r>
      <w:r w:rsidR="00975A2F">
        <w:rPr>
          <w:rFonts w:ascii="Times New Roman" w:hAnsi="Times New Roman" w:cs="Times New Roman"/>
          <w:sz w:val="24"/>
          <w:szCs w:val="24"/>
        </w:rPr>
        <w:t xml:space="preserve"> Dann dürfte </w:t>
      </w:r>
      <w:r w:rsidR="00233DFF">
        <w:rPr>
          <w:rFonts w:ascii="Times New Roman" w:hAnsi="Times New Roman" w:cs="Times New Roman"/>
          <w:sz w:val="24"/>
          <w:szCs w:val="24"/>
        </w:rPr>
        <w:t xml:space="preserve">beispielsweise </w:t>
      </w:r>
      <w:r w:rsidR="00975A2F">
        <w:rPr>
          <w:rFonts w:ascii="Times New Roman" w:hAnsi="Times New Roman" w:cs="Times New Roman"/>
          <w:sz w:val="24"/>
          <w:szCs w:val="24"/>
        </w:rPr>
        <w:t xml:space="preserve">in der Satzung </w:t>
      </w:r>
      <w:r w:rsidR="00A2614C">
        <w:rPr>
          <w:rFonts w:ascii="Times New Roman" w:hAnsi="Times New Roman" w:cs="Times New Roman"/>
          <w:sz w:val="24"/>
          <w:szCs w:val="24"/>
        </w:rPr>
        <w:t xml:space="preserve">zwar </w:t>
      </w:r>
      <w:r w:rsidR="00975A2F">
        <w:rPr>
          <w:rFonts w:ascii="Times New Roman" w:hAnsi="Times New Roman" w:cs="Times New Roman"/>
          <w:sz w:val="24"/>
          <w:szCs w:val="24"/>
        </w:rPr>
        <w:t>geregelt werden</w:t>
      </w:r>
      <w:r w:rsidR="00A2614C">
        <w:rPr>
          <w:rFonts w:ascii="Times New Roman" w:hAnsi="Times New Roman" w:cs="Times New Roman"/>
          <w:sz w:val="24"/>
          <w:szCs w:val="24"/>
        </w:rPr>
        <w:t>, ob bei der Bestellung von Universitätsprofessor/inn/en nach § 99 Abs 4 UG Hearings abzuhalten und wie diese gegebenenfalls durchzuführen sind und ob und von wem ein – allerdings unverbindlicher</w:t>
      </w:r>
      <w:r w:rsidR="00906D17">
        <w:rPr>
          <w:rStyle w:val="Funotenzeichen"/>
          <w:rFonts w:ascii="Times New Roman" w:hAnsi="Times New Roman" w:cs="Times New Roman"/>
          <w:sz w:val="24"/>
          <w:szCs w:val="24"/>
        </w:rPr>
        <w:footnoteReference w:id="73"/>
      </w:r>
      <w:r w:rsidR="00A2614C">
        <w:rPr>
          <w:rFonts w:ascii="Times New Roman" w:hAnsi="Times New Roman" w:cs="Times New Roman"/>
          <w:sz w:val="24"/>
          <w:szCs w:val="24"/>
        </w:rPr>
        <w:t xml:space="preserve"> – Besetzungsvorschlag zu erstatten ist</w:t>
      </w:r>
      <w:r w:rsidR="00975A2F">
        <w:rPr>
          <w:rFonts w:ascii="Times New Roman" w:hAnsi="Times New Roman" w:cs="Times New Roman"/>
          <w:sz w:val="24"/>
          <w:szCs w:val="24"/>
        </w:rPr>
        <w:t xml:space="preserve">. </w:t>
      </w:r>
      <w:r w:rsidR="00A2614C">
        <w:rPr>
          <w:rFonts w:ascii="Times New Roman" w:hAnsi="Times New Roman" w:cs="Times New Roman"/>
          <w:sz w:val="24"/>
          <w:szCs w:val="24"/>
        </w:rPr>
        <w:t xml:space="preserve">Die Entscheidung, ob die Stelle gleich unbefristet oder zunächst befristet und beispielsweise erst </w:t>
      </w:r>
      <w:r w:rsidR="00B429A6">
        <w:rPr>
          <w:rFonts w:ascii="Times New Roman" w:hAnsi="Times New Roman" w:cs="Times New Roman"/>
          <w:sz w:val="24"/>
          <w:szCs w:val="24"/>
        </w:rPr>
        <w:t>nach einer Evaluierung</w:t>
      </w:r>
      <w:r w:rsidR="00A2614C">
        <w:rPr>
          <w:rFonts w:ascii="Times New Roman" w:hAnsi="Times New Roman" w:cs="Times New Roman"/>
          <w:sz w:val="24"/>
          <w:szCs w:val="24"/>
        </w:rPr>
        <w:t xml:space="preserve"> unbefristet besetzt werden darf, ist dann von der Rektorin oder vom Rektor im Arbeitsvertrag zu treffen und entzieht sich der Regelung durch die Satzung.</w:t>
      </w:r>
      <w:r w:rsidR="00B429A6">
        <w:rPr>
          <w:rFonts w:ascii="Times New Roman" w:hAnsi="Times New Roman" w:cs="Times New Roman"/>
          <w:sz w:val="24"/>
          <w:szCs w:val="24"/>
        </w:rPr>
        <w:t xml:space="preserve"> Für den Fall, dass im Arbeitsvertrag eine Befristung mit späterer Entfristungsmöglichkeit vereinbart wird, darf die Satzung zwar eine Anhörung der Universitätsprofessor/inn/en des jeweiligen fachlichen Bereichs im Zuge der Weiterbestellung vorsehen und näher regeln, wie dabei vorzugehen ist</w:t>
      </w:r>
      <w:r w:rsidR="00D93CD4">
        <w:rPr>
          <w:rStyle w:val="Funotenzeichen"/>
          <w:rFonts w:ascii="Times New Roman" w:hAnsi="Times New Roman" w:cs="Times New Roman"/>
          <w:sz w:val="24"/>
          <w:szCs w:val="24"/>
        </w:rPr>
        <w:footnoteReference w:id="74"/>
      </w:r>
      <w:r w:rsidR="00B429A6">
        <w:rPr>
          <w:rFonts w:ascii="Times New Roman" w:hAnsi="Times New Roman" w:cs="Times New Roman"/>
          <w:sz w:val="24"/>
          <w:szCs w:val="24"/>
        </w:rPr>
        <w:t xml:space="preserve">. Sie darf aber </w:t>
      </w:r>
      <w:r w:rsidR="00906D17">
        <w:rPr>
          <w:rFonts w:ascii="Times New Roman" w:hAnsi="Times New Roman" w:cs="Times New Roman"/>
          <w:sz w:val="24"/>
          <w:szCs w:val="24"/>
        </w:rPr>
        <w:t xml:space="preserve">– folgt man den Prämissen </w:t>
      </w:r>
      <w:r w:rsidR="00906D17" w:rsidRPr="00B648E7">
        <w:rPr>
          <w:rFonts w:ascii="Times New Roman" w:hAnsi="Times New Roman" w:cs="Times New Roman"/>
          <w:i/>
          <w:sz w:val="24"/>
          <w:szCs w:val="24"/>
        </w:rPr>
        <w:t>Perles</w:t>
      </w:r>
      <w:r w:rsidR="00906D17">
        <w:rPr>
          <w:rFonts w:ascii="Times New Roman" w:hAnsi="Times New Roman" w:cs="Times New Roman"/>
          <w:sz w:val="24"/>
          <w:szCs w:val="24"/>
        </w:rPr>
        <w:t xml:space="preserve"> – </w:t>
      </w:r>
      <w:r w:rsidR="00B429A6">
        <w:rPr>
          <w:rFonts w:ascii="Times New Roman" w:hAnsi="Times New Roman" w:cs="Times New Roman"/>
          <w:sz w:val="24"/>
          <w:szCs w:val="24"/>
        </w:rPr>
        <w:t>nicht</w:t>
      </w:r>
      <w:r w:rsidR="00906D17">
        <w:rPr>
          <w:rFonts w:ascii="Times New Roman" w:hAnsi="Times New Roman" w:cs="Times New Roman"/>
          <w:sz w:val="24"/>
          <w:szCs w:val="24"/>
        </w:rPr>
        <w:t xml:space="preserve"> </w:t>
      </w:r>
      <w:r w:rsidR="00B429A6">
        <w:rPr>
          <w:rFonts w:ascii="Times New Roman" w:hAnsi="Times New Roman" w:cs="Times New Roman"/>
          <w:sz w:val="24"/>
          <w:szCs w:val="24"/>
        </w:rPr>
        <w:t xml:space="preserve">anordnen, dass die Entfristung eine Qualifikationsprüfung zur Voraussetzung hat und </w:t>
      </w:r>
      <w:r w:rsidR="0064360A">
        <w:rPr>
          <w:rFonts w:ascii="Times New Roman" w:hAnsi="Times New Roman" w:cs="Times New Roman"/>
          <w:sz w:val="24"/>
          <w:szCs w:val="24"/>
        </w:rPr>
        <w:t>welche Kriterien diese zu beinhalten hat</w:t>
      </w:r>
      <w:r w:rsidR="00B429A6">
        <w:rPr>
          <w:rFonts w:ascii="Times New Roman" w:hAnsi="Times New Roman" w:cs="Times New Roman"/>
          <w:sz w:val="24"/>
          <w:szCs w:val="24"/>
        </w:rPr>
        <w:t xml:space="preserve">, da dies </w:t>
      </w:r>
      <w:r w:rsidR="00D74EA7">
        <w:rPr>
          <w:rFonts w:ascii="Times New Roman" w:hAnsi="Times New Roman" w:cs="Times New Roman"/>
          <w:sz w:val="24"/>
          <w:szCs w:val="24"/>
        </w:rPr>
        <w:t>die arbeitsrechtlichen Befugnisse der Rektorin oder des Rektors beschneiden</w:t>
      </w:r>
      <w:r w:rsidR="00B429A6">
        <w:rPr>
          <w:rFonts w:ascii="Times New Roman" w:hAnsi="Times New Roman" w:cs="Times New Roman"/>
          <w:sz w:val="24"/>
          <w:szCs w:val="24"/>
        </w:rPr>
        <w:t xml:space="preserve"> würde</w:t>
      </w:r>
      <w:r w:rsidR="00D93CD4">
        <w:rPr>
          <w:rStyle w:val="Funotenzeichen"/>
          <w:rFonts w:ascii="Times New Roman" w:hAnsi="Times New Roman" w:cs="Times New Roman"/>
          <w:sz w:val="24"/>
          <w:szCs w:val="24"/>
        </w:rPr>
        <w:footnoteReference w:id="75"/>
      </w:r>
      <w:r w:rsidR="00D74EA7">
        <w:rPr>
          <w:rFonts w:ascii="Times New Roman" w:hAnsi="Times New Roman" w:cs="Times New Roman"/>
          <w:sz w:val="24"/>
          <w:szCs w:val="24"/>
        </w:rPr>
        <w:t xml:space="preserve">. </w:t>
      </w:r>
      <w:r w:rsidR="004753DF">
        <w:rPr>
          <w:rFonts w:ascii="Times New Roman" w:hAnsi="Times New Roman" w:cs="Times New Roman"/>
          <w:sz w:val="24"/>
          <w:szCs w:val="24"/>
        </w:rPr>
        <w:t>Die Satzung könnte aber für diesen Fall vorschreiben, dass eine allenfalls im Arbeitsvertrag vereinbarte Qualifikationsprüfung unter Berücksichtigung von beispielsweise mindestens zwei einzuholenden Gutachten zu erfolgen hat, und auch festlegen, ob ein</w:t>
      </w:r>
      <w:r w:rsidR="009844F8">
        <w:rPr>
          <w:rFonts w:ascii="Times New Roman" w:hAnsi="Times New Roman" w:cs="Times New Roman"/>
          <w:sz w:val="24"/>
          <w:szCs w:val="24"/>
        </w:rPr>
        <w:t>/</w:t>
      </w:r>
      <w:r w:rsidR="004753DF">
        <w:rPr>
          <w:rFonts w:ascii="Times New Roman" w:hAnsi="Times New Roman" w:cs="Times New Roman"/>
          <w:sz w:val="24"/>
          <w:szCs w:val="24"/>
        </w:rPr>
        <w:t>e</w:t>
      </w:r>
      <w:r w:rsidR="009844F8">
        <w:rPr>
          <w:rFonts w:ascii="Times New Roman" w:hAnsi="Times New Roman" w:cs="Times New Roman"/>
          <w:sz w:val="24"/>
          <w:szCs w:val="24"/>
        </w:rPr>
        <w:t xml:space="preserve"> </w:t>
      </w:r>
      <w:r w:rsidR="004753DF">
        <w:rPr>
          <w:rFonts w:ascii="Times New Roman" w:hAnsi="Times New Roman" w:cs="Times New Roman"/>
          <w:sz w:val="24"/>
          <w:szCs w:val="24"/>
        </w:rPr>
        <w:t>oder alle Gutachter/in</w:t>
      </w:r>
      <w:r w:rsidR="00693EB2">
        <w:rPr>
          <w:rFonts w:ascii="Times New Roman" w:hAnsi="Times New Roman" w:cs="Times New Roman"/>
          <w:sz w:val="24"/>
          <w:szCs w:val="24"/>
        </w:rPr>
        <w:t>/</w:t>
      </w:r>
      <w:r w:rsidR="004753DF">
        <w:rPr>
          <w:rFonts w:ascii="Times New Roman" w:hAnsi="Times New Roman" w:cs="Times New Roman"/>
          <w:sz w:val="24"/>
          <w:szCs w:val="24"/>
        </w:rPr>
        <w:t xml:space="preserve">nen einer anderen in- oder ausländischen Universität angehören müssen. </w:t>
      </w:r>
      <w:r w:rsidR="00D74EA7">
        <w:rPr>
          <w:rFonts w:ascii="Times New Roman" w:hAnsi="Times New Roman" w:cs="Times New Roman"/>
          <w:sz w:val="24"/>
          <w:szCs w:val="24"/>
        </w:rPr>
        <w:t xml:space="preserve">  </w:t>
      </w:r>
      <w:r w:rsidR="00975A2F">
        <w:rPr>
          <w:rFonts w:ascii="Times New Roman" w:hAnsi="Times New Roman" w:cs="Times New Roman"/>
          <w:sz w:val="24"/>
          <w:szCs w:val="24"/>
        </w:rPr>
        <w:t xml:space="preserve"> </w:t>
      </w:r>
    </w:p>
    <w:p w14:paraId="2554BA68" w14:textId="570B6CCF" w:rsidR="00F11888" w:rsidRDefault="00975A2F" w:rsidP="00817BC9">
      <w:pPr>
        <w:spacing w:line="360" w:lineRule="auto"/>
        <w:jc w:val="both"/>
        <w:rPr>
          <w:rFonts w:ascii="Times New Roman" w:hAnsi="Times New Roman" w:cs="Times New Roman"/>
          <w:sz w:val="24"/>
          <w:szCs w:val="24"/>
        </w:rPr>
      </w:pPr>
      <w:r w:rsidRPr="00A4628F">
        <w:rPr>
          <w:rFonts w:ascii="Times New Roman" w:hAnsi="Times New Roman" w:cs="Times New Roman"/>
          <w:i/>
          <w:sz w:val="24"/>
          <w:szCs w:val="24"/>
        </w:rPr>
        <w:t>Perle</w:t>
      </w:r>
      <w:r>
        <w:rPr>
          <w:rFonts w:ascii="Times New Roman" w:hAnsi="Times New Roman" w:cs="Times New Roman"/>
          <w:sz w:val="24"/>
          <w:szCs w:val="24"/>
        </w:rPr>
        <w:t xml:space="preserve"> </w:t>
      </w:r>
      <w:r w:rsidR="00B0581F">
        <w:rPr>
          <w:rFonts w:ascii="Times New Roman" w:hAnsi="Times New Roman" w:cs="Times New Roman"/>
          <w:sz w:val="24"/>
          <w:szCs w:val="24"/>
        </w:rPr>
        <w:t xml:space="preserve">selbst ist allerdings </w:t>
      </w:r>
      <w:r w:rsidR="004B4280">
        <w:rPr>
          <w:rFonts w:ascii="Times New Roman" w:hAnsi="Times New Roman" w:cs="Times New Roman"/>
          <w:sz w:val="24"/>
          <w:szCs w:val="24"/>
        </w:rPr>
        <w:t xml:space="preserve">aus einem anderen Grund </w:t>
      </w:r>
      <w:r w:rsidR="00B0581F">
        <w:rPr>
          <w:rFonts w:ascii="Times New Roman" w:hAnsi="Times New Roman" w:cs="Times New Roman"/>
          <w:sz w:val="24"/>
          <w:szCs w:val="24"/>
        </w:rPr>
        <w:t xml:space="preserve">der </w:t>
      </w:r>
      <w:r>
        <w:rPr>
          <w:rFonts w:ascii="Times New Roman" w:hAnsi="Times New Roman" w:cs="Times New Roman"/>
          <w:sz w:val="24"/>
          <w:szCs w:val="24"/>
        </w:rPr>
        <w:t>Auffassung, dass dem Zweck des § 99 Abs 4 UG nur dann entsprochen wird, wenn die arbeitsrechtliche Ausgestaltung der Stelle als „dauernde und damit befristungslose Universitätsprofessur“ erfolgt</w:t>
      </w:r>
      <w:r w:rsidR="00127FA4">
        <w:rPr>
          <w:rFonts w:ascii="Times New Roman" w:hAnsi="Times New Roman" w:cs="Times New Roman"/>
          <w:sz w:val="24"/>
          <w:szCs w:val="24"/>
        </w:rPr>
        <w:t xml:space="preserve"> und sieht offenbar auch für die Rektorin oder den Rektor keine</w:t>
      </w:r>
      <w:r w:rsidR="0064360A">
        <w:rPr>
          <w:rFonts w:ascii="Times New Roman" w:hAnsi="Times New Roman" w:cs="Times New Roman"/>
          <w:sz w:val="24"/>
          <w:szCs w:val="24"/>
        </w:rPr>
        <w:t xml:space="preserve"> Möglichkeit</w:t>
      </w:r>
      <w:r w:rsidR="004753DF">
        <w:rPr>
          <w:rFonts w:ascii="Times New Roman" w:hAnsi="Times New Roman" w:cs="Times New Roman"/>
          <w:sz w:val="24"/>
          <w:szCs w:val="24"/>
        </w:rPr>
        <w:t>,</w:t>
      </w:r>
      <w:r w:rsidR="00127FA4">
        <w:rPr>
          <w:rFonts w:ascii="Times New Roman" w:hAnsi="Times New Roman" w:cs="Times New Roman"/>
          <w:sz w:val="24"/>
          <w:szCs w:val="24"/>
        </w:rPr>
        <w:t xml:space="preserve"> im Arbeitsvertrag</w:t>
      </w:r>
      <w:r w:rsidR="0064360A">
        <w:rPr>
          <w:rFonts w:ascii="Times New Roman" w:hAnsi="Times New Roman" w:cs="Times New Roman"/>
          <w:sz w:val="24"/>
          <w:szCs w:val="24"/>
        </w:rPr>
        <w:t xml:space="preserve"> eine Befristung zu vereinbaren</w:t>
      </w:r>
      <w:r w:rsidR="00E875F4">
        <w:rPr>
          <w:rStyle w:val="Funotenzeichen"/>
          <w:rFonts w:ascii="Times New Roman" w:hAnsi="Times New Roman" w:cs="Times New Roman"/>
          <w:sz w:val="24"/>
          <w:szCs w:val="24"/>
        </w:rPr>
        <w:footnoteReference w:id="76"/>
      </w:r>
      <w:r w:rsidR="004B4280">
        <w:rPr>
          <w:rFonts w:ascii="Times New Roman" w:hAnsi="Times New Roman" w:cs="Times New Roman"/>
          <w:sz w:val="24"/>
          <w:szCs w:val="24"/>
        </w:rPr>
        <w:t>:</w:t>
      </w:r>
      <w:r w:rsidR="00B0581F">
        <w:rPr>
          <w:rFonts w:ascii="Times New Roman" w:hAnsi="Times New Roman" w:cs="Times New Roman"/>
          <w:sz w:val="24"/>
          <w:szCs w:val="24"/>
        </w:rPr>
        <w:t xml:space="preserve"> </w:t>
      </w:r>
      <w:r w:rsidR="004B4280">
        <w:rPr>
          <w:rFonts w:ascii="Times New Roman" w:hAnsi="Times New Roman" w:cs="Times New Roman"/>
          <w:sz w:val="24"/>
          <w:szCs w:val="24"/>
        </w:rPr>
        <w:t xml:space="preserve">Sie </w:t>
      </w:r>
      <w:r w:rsidR="0064360A">
        <w:rPr>
          <w:rFonts w:ascii="Times New Roman" w:hAnsi="Times New Roman" w:cs="Times New Roman"/>
          <w:sz w:val="24"/>
          <w:szCs w:val="24"/>
        </w:rPr>
        <w:t>räumt zwar ein, dass man durch die Einbettung des § 99 Abs 4 UG in das Regelungsgefüge des § 99 UG verleitet sein könnte, auf die Präferenz des Gesetzgebers für die Befristung zu schließen. A</w:t>
      </w:r>
      <w:r w:rsidR="00F83A31">
        <w:rPr>
          <w:rFonts w:ascii="Times New Roman" w:hAnsi="Times New Roman" w:cs="Times New Roman"/>
          <w:sz w:val="24"/>
          <w:szCs w:val="24"/>
        </w:rPr>
        <w:t>l</w:t>
      </w:r>
      <w:r w:rsidR="0064360A">
        <w:rPr>
          <w:rFonts w:ascii="Times New Roman" w:hAnsi="Times New Roman" w:cs="Times New Roman"/>
          <w:sz w:val="24"/>
          <w:szCs w:val="24"/>
        </w:rPr>
        <w:t>s entscheidend sieht sie aber an</w:t>
      </w:r>
      <w:r w:rsidR="004B4280">
        <w:rPr>
          <w:rFonts w:ascii="Times New Roman" w:hAnsi="Times New Roman" w:cs="Times New Roman"/>
          <w:sz w:val="24"/>
          <w:szCs w:val="24"/>
        </w:rPr>
        <w:t>, dass beide „Ausgangsverwendungen“ nach § 99 Abs 4 UG – Universitätsdozent/inn/en gemäß § 94 Abs 2 Z 2 UG und Assoziierte Professor/inn/en –</w:t>
      </w:r>
      <w:r w:rsidR="00F02D4B">
        <w:rPr>
          <w:rFonts w:ascii="Times New Roman" w:hAnsi="Times New Roman" w:cs="Times New Roman"/>
          <w:sz w:val="24"/>
          <w:szCs w:val="24"/>
        </w:rPr>
        <w:t xml:space="preserve"> </w:t>
      </w:r>
      <w:r w:rsidR="004B4280">
        <w:rPr>
          <w:rFonts w:ascii="Times New Roman" w:hAnsi="Times New Roman" w:cs="Times New Roman"/>
          <w:sz w:val="24"/>
          <w:szCs w:val="24"/>
        </w:rPr>
        <w:t>dienst- und arbeitsrechtlich als Dauerstellen gestaltet</w:t>
      </w:r>
      <w:r w:rsidR="00F02D4B">
        <w:rPr>
          <w:rFonts w:ascii="Times New Roman" w:hAnsi="Times New Roman" w:cs="Times New Roman"/>
          <w:sz w:val="24"/>
          <w:szCs w:val="24"/>
        </w:rPr>
        <w:t xml:space="preserve"> sind</w:t>
      </w:r>
      <w:r w:rsidR="004B4280">
        <w:rPr>
          <w:rFonts w:ascii="Times New Roman" w:hAnsi="Times New Roman" w:cs="Times New Roman"/>
          <w:sz w:val="24"/>
          <w:szCs w:val="24"/>
        </w:rPr>
        <w:t xml:space="preserve">. Dies spricht </w:t>
      </w:r>
      <w:r w:rsidR="00D93CD4">
        <w:rPr>
          <w:rFonts w:ascii="Times New Roman" w:hAnsi="Times New Roman" w:cs="Times New Roman"/>
          <w:sz w:val="24"/>
          <w:szCs w:val="24"/>
        </w:rPr>
        <w:t xml:space="preserve">uE </w:t>
      </w:r>
      <w:r w:rsidR="004B4280">
        <w:rPr>
          <w:rFonts w:ascii="Times New Roman" w:hAnsi="Times New Roman" w:cs="Times New Roman"/>
          <w:sz w:val="24"/>
          <w:szCs w:val="24"/>
        </w:rPr>
        <w:t xml:space="preserve">allerdings nicht dagegen, die Bestellung zur Universitätsprofessorin oder zum Universitätsprofessor zunächst befristet vorzunehmen und die Entfristung </w:t>
      </w:r>
      <w:r w:rsidR="00127FA4">
        <w:rPr>
          <w:rFonts w:ascii="Times New Roman" w:hAnsi="Times New Roman" w:cs="Times New Roman"/>
          <w:sz w:val="24"/>
          <w:szCs w:val="24"/>
        </w:rPr>
        <w:t xml:space="preserve">in dieser Verwendung </w:t>
      </w:r>
      <w:r w:rsidR="004B4280">
        <w:rPr>
          <w:rFonts w:ascii="Times New Roman" w:hAnsi="Times New Roman" w:cs="Times New Roman"/>
          <w:sz w:val="24"/>
          <w:szCs w:val="24"/>
        </w:rPr>
        <w:t xml:space="preserve">von einer </w:t>
      </w:r>
      <w:r w:rsidR="00127FA4">
        <w:rPr>
          <w:rFonts w:ascii="Times New Roman" w:hAnsi="Times New Roman" w:cs="Times New Roman"/>
          <w:sz w:val="24"/>
          <w:szCs w:val="24"/>
        </w:rPr>
        <w:t xml:space="preserve">positiven </w:t>
      </w:r>
      <w:r w:rsidR="004B4280">
        <w:rPr>
          <w:rFonts w:ascii="Times New Roman" w:hAnsi="Times New Roman" w:cs="Times New Roman"/>
          <w:sz w:val="24"/>
          <w:szCs w:val="24"/>
        </w:rPr>
        <w:t>Evaluierung abhängig zu machen</w:t>
      </w:r>
      <w:r w:rsidR="00BE76DC">
        <w:rPr>
          <w:rStyle w:val="Funotenzeichen"/>
          <w:rFonts w:ascii="Times New Roman" w:hAnsi="Times New Roman" w:cs="Times New Roman"/>
          <w:sz w:val="24"/>
          <w:szCs w:val="24"/>
        </w:rPr>
        <w:footnoteReference w:id="77"/>
      </w:r>
      <w:r w:rsidR="004B4280">
        <w:rPr>
          <w:rFonts w:ascii="Times New Roman" w:hAnsi="Times New Roman" w:cs="Times New Roman"/>
          <w:sz w:val="24"/>
          <w:szCs w:val="24"/>
        </w:rPr>
        <w:t xml:space="preserve">. </w:t>
      </w:r>
      <w:r w:rsidR="00B35EF4">
        <w:rPr>
          <w:rFonts w:ascii="Times New Roman" w:hAnsi="Times New Roman" w:cs="Times New Roman"/>
          <w:sz w:val="24"/>
          <w:szCs w:val="24"/>
        </w:rPr>
        <w:t>Die dienst- und arbeitsrechtlichen Rahmenbedingungen können so gestaltet werden</w:t>
      </w:r>
      <w:r w:rsidR="00F02D4B">
        <w:rPr>
          <w:rFonts w:ascii="Times New Roman" w:hAnsi="Times New Roman" w:cs="Times New Roman"/>
          <w:sz w:val="24"/>
          <w:szCs w:val="24"/>
        </w:rPr>
        <w:t>, dass die Person im Falle einer negativen Evaluierung wieder in die frühere Verwendung zurückfällt und insoweit die dauerhafte Beschäftigung an der Universität nicht verlorengeht</w:t>
      </w:r>
      <w:r w:rsidR="00F02D4B">
        <w:rPr>
          <w:rStyle w:val="Funotenzeichen"/>
          <w:rFonts w:ascii="Times New Roman" w:hAnsi="Times New Roman" w:cs="Times New Roman"/>
          <w:sz w:val="24"/>
          <w:szCs w:val="24"/>
        </w:rPr>
        <w:footnoteReference w:id="78"/>
      </w:r>
      <w:r w:rsidR="00F02D4B">
        <w:rPr>
          <w:rFonts w:ascii="Times New Roman" w:hAnsi="Times New Roman" w:cs="Times New Roman"/>
          <w:sz w:val="24"/>
          <w:szCs w:val="24"/>
        </w:rPr>
        <w:t xml:space="preserve">. </w:t>
      </w:r>
      <w:r w:rsidR="00127FA4">
        <w:rPr>
          <w:rFonts w:ascii="Times New Roman" w:hAnsi="Times New Roman" w:cs="Times New Roman"/>
          <w:sz w:val="24"/>
          <w:szCs w:val="24"/>
        </w:rPr>
        <w:t xml:space="preserve">Würden befristete Bestellungen nach § 99 Abs 4 UG </w:t>
      </w:r>
      <w:r w:rsidR="00F02D4B">
        <w:rPr>
          <w:rFonts w:ascii="Times New Roman" w:hAnsi="Times New Roman" w:cs="Times New Roman"/>
          <w:sz w:val="24"/>
          <w:szCs w:val="24"/>
        </w:rPr>
        <w:t xml:space="preserve">generell </w:t>
      </w:r>
      <w:r w:rsidR="00127FA4">
        <w:rPr>
          <w:rFonts w:ascii="Times New Roman" w:hAnsi="Times New Roman" w:cs="Times New Roman"/>
          <w:sz w:val="24"/>
          <w:szCs w:val="24"/>
        </w:rPr>
        <w:t>dem Gesetzeszweck widersprechen, hätten wohl die Gesetzesmaterialien nicht ausdrücklich erwähnt, dass</w:t>
      </w:r>
      <w:r>
        <w:rPr>
          <w:rFonts w:ascii="Times New Roman" w:hAnsi="Times New Roman" w:cs="Times New Roman"/>
          <w:sz w:val="24"/>
          <w:szCs w:val="24"/>
        </w:rPr>
        <w:t xml:space="preserve"> die Bestellung gemäß § 99 Abs 4 UG befristet oder unbefristet erfolgen kann</w:t>
      </w:r>
      <w:r>
        <w:rPr>
          <w:rStyle w:val="Funotenzeichen"/>
          <w:rFonts w:ascii="Times New Roman" w:hAnsi="Times New Roman" w:cs="Times New Roman"/>
          <w:sz w:val="24"/>
          <w:szCs w:val="24"/>
        </w:rPr>
        <w:footnoteReference w:id="79"/>
      </w:r>
      <w:r>
        <w:rPr>
          <w:rFonts w:ascii="Times New Roman" w:hAnsi="Times New Roman" w:cs="Times New Roman"/>
          <w:sz w:val="24"/>
          <w:szCs w:val="24"/>
        </w:rPr>
        <w:t xml:space="preserve">. </w:t>
      </w:r>
      <w:r w:rsidR="002C5070">
        <w:rPr>
          <w:rFonts w:ascii="Times New Roman" w:hAnsi="Times New Roman" w:cs="Times New Roman"/>
          <w:sz w:val="24"/>
          <w:szCs w:val="24"/>
        </w:rPr>
        <w:t xml:space="preserve">Wenn der Gesetzgeber nur eine unbefristete oder auch nur eine befristete Bestellung zulassen hätte wollen, hätte er dies in § 99 Abs 4 UG auch klar zum Ausdruck gebracht, so wie </w:t>
      </w:r>
      <w:r w:rsidR="00064844">
        <w:rPr>
          <w:rFonts w:ascii="Times New Roman" w:hAnsi="Times New Roman" w:cs="Times New Roman"/>
          <w:sz w:val="24"/>
          <w:szCs w:val="24"/>
        </w:rPr>
        <w:t>die</w:t>
      </w:r>
      <w:r w:rsidR="002C5070">
        <w:rPr>
          <w:rFonts w:ascii="Times New Roman" w:hAnsi="Times New Roman" w:cs="Times New Roman"/>
          <w:sz w:val="24"/>
          <w:szCs w:val="24"/>
        </w:rPr>
        <w:t xml:space="preserve"> §§ 98, 99 Abs 1 und 3 UG </w:t>
      </w:r>
      <w:r w:rsidR="00064844">
        <w:rPr>
          <w:rFonts w:ascii="Times New Roman" w:hAnsi="Times New Roman" w:cs="Times New Roman"/>
          <w:sz w:val="24"/>
          <w:szCs w:val="24"/>
        </w:rPr>
        <w:t>eindeutige Regelungen enthalten</w:t>
      </w:r>
      <w:r w:rsidR="002C5070">
        <w:rPr>
          <w:rFonts w:ascii="Times New Roman" w:hAnsi="Times New Roman" w:cs="Times New Roman"/>
          <w:sz w:val="24"/>
          <w:szCs w:val="24"/>
        </w:rPr>
        <w:t>.</w:t>
      </w:r>
    </w:p>
    <w:p w14:paraId="2554BA69" w14:textId="1192D63D" w:rsidR="000C1718" w:rsidRDefault="00F11888" w:rsidP="009978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Das BMWFW hat kürzlich in einer Anfragebeantwortung zur Frage Stellung genommen, ob die ausdrückliche Regelung des § 99 Abs 4 letzter Satz UG, wonach „nähere Bestimmungen </w:t>
      </w:r>
      <w:r w:rsidR="00BA28ED">
        <w:rPr>
          <w:rFonts w:ascii="Times New Roman" w:hAnsi="Times New Roman" w:cs="Times New Roman"/>
          <w:sz w:val="24"/>
          <w:szCs w:val="24"/>
        </w:rPr>
        <w:t>[…] in der Satzung festzulegen“ sind, ausschließt, dass die Satzung für diese Zwecke auf eine Richtlinie des Rektorats verweist</w:t>
      </w:r>
      <w:r w:rsidR="009658F1">
        <w:rPr>
          <w:rStyle w:val="Funotenzeichen"/>
          <w:rFonts w:ascii="Times New Roman" w:hAnsi="Times New Roman" w:cs="Times New Roman"/>
          <w:sz w:val="24"/>
          <w:szCs w:val="24"/>
        </w:rPr>
        <w:footnoteReference w:id="80"/>
      </w:r>
      <w:r w:rsidR="00BA28ED">
        <w:rPr>
          <w:rFonts w:ascii="Times New Roman" w:hAnsi="Times New Roman" w:cs="Times New Roman"/>
          <w:sz w:val="24"/>
          <w:szCs w:val="24"/>
        </w:rPr>
        <w:t xml:space="preserve">. Zutreffend ist das BMWFW von der Zulässigkeit dieser Regelungstechnik ausgegangen und </w:t>
      </w:r>
      <w:r w:rsidR="00797B8E">
        <w:rPr>
          <w:rFonts w:ascii="Times New Roman" w:hAnsi="Times New Roman" w:cs="Times New Roman"/>
          <w:sz w:val="24"/>
          <w:szCs w:val="24"/>
        </w:rPr>
        <w:t xml:space="preserve">hat </w:t>
      </w:r>
      <w:r w:rsidR="00B532A7">
        <w:rPr>
          <w:rFonts w:ascii="Times New Roman" w:hAnsi="Times New Roman" w:cs="Times New Roman"/>
          <w:sz w:val="24"/>
          <w:szCs w:val="24"/>
        </w:rPr>
        <w:t xml:space="preserve">sich offenbar bemüht, </w:t>
      </w:r>
      <w:r w:rsidR="00BA28ED">
        <w:rPr>
          <w:rFonts w:ascii="Times New Roman" w:hAnsi="Times New Roman" w:cs="Times New Roman"/>
          <w:sz w:val="24"/>
          <w:szCs w:val="24"/>
        </w:rPr>
        <w:t xml:space="preserve">jene Maßstäbe </w:t>
      </w:r>
      <w:r w:rsidR="00B532A7">
        <w:rPr>
          <w:rFonts w:ascii="Times New Roman" w:hAnsi="Times New Roman" w:cs="Times New Roman"/>
          <w:sz w:val="24"/>
          <w:szCs w:val="24"/>
        </w:rPr>
        <w:t>anzulegen</w:t>
      </w:r>
      <w:r w:rsidR="00BA28ED">
        <w:rPr>
          <w:rFonts w:ascii="Times New Roman" w:hAnsi="Times New Roman" w:cs="Times New Roman"/>
          <w:sz w:val="24"/>
          <w:szCs w:val="24"/>
        </w:rPr>
        <w:t xml:space="preserve">, die </w:t>
      </w:r>
      <w:r w:rsidR="00B5352F">
        <w:rPr>
          <w:rFonts w:ascii="Times New Roman" w:hAnsi="Times New Roman" w:cs="Times New Roman"/>
          <w:sz w:val="24"/>
          <w:szCs w:val="24"/>
        </w:rPr>
        <w:t>der VfGH</w:t>
      </w:r>
      <w:r w:rsidR="00BA28ED">
        <w:rPr>
          <w:rFonts w:ascii="Times New Roman" w:hAnsi="Times New Roman" w:cs="Times New Roman"/>
          <w:sz w:val="24"/>
          <w:szCs w:val="24"/>
        </w:rPr>
        <w:t xml:space="preserve"> </w:t>
      </w:r>
      <w:r w:rsidR="00B5352F">
        <w:rPr>
          <w:rFonts w:ascii="Times New Roman" w:hAnsi="Times New Roman" w:cs="Times New Roman"/>
          <w:sz w:val="24"/>
          <w:szCs w:val="24"/>
        </w:rPr>
        <w:t xml:space="preserve">insbesondere für </w:t>
      </w:r>
      <w:r w:rsidR="00BA28ED">
        <w:rPr>
          <w:rFonts w:ascii="Times New Roman" w:hAnsi="Times New Roman" w:cs="Times New Roman"/>
          <w:sz w:val="24"/>
          <w:szCs w:val="24"/>
        </w:rPr>
        <w:t xml:space="preserve">Verweisungen </w:t>
      </w:r>
      <w:r w:rsidR="00B5352F">
        <w:rPr>
          <w:rFonts w:ascii="Times New Roman" w:hAnsi="Times New Roman" w:cs="Times New Roman"/>
          <w:sz w:val="24"/>
          <w:szCs w:val="24"/>
        </w:rPr>
        <w:t>zwischen Landes- und Bundesgesetz</w:t>
      </w:r>
      <w:r w:rsidR="005C0271">
        <w:rPr>
          <w:rFonts w:ascii="Times New Roman" w:hAnsi="Times New Roman" w:cs="Times New Roman"/>
          <w:sz w:val="24"/>
          <w:szCs w:val="24"/>
        </w:rPr>
        <w:t>en</w:t>
      </w:r>
      <w:r w:rsidR="00B5352F">
        <w:rPr>
          <w:rFonts w:ascii="Times New Roman" w:hAnsi="Times New Roman" w:cs="Times New Roman"/>
          <w:sz w:val="24"/>
          <w:szCs w:val="24"/>
        </w:rPr>
        <w:t xml:space="preserve"> entwickelt hat</w:t>
      </w:r>
      <w:r w:rsidR="00205426">
        <w:rPr>
          <w:rStyle w:val="Funotenzeichen"/>
          <w:rFonts w:ascii="Times New Roman" w:hAnsi="Times New Roman" w:cs="Times New Roman"/>
          <w:sz w:val="24"/>
          <w:szCs w:val="24"/>
        </w:rPr>
        <w:footnoteReference w:id="81"/>
      </w:r>
      <w:r w:rsidR="00BA28ED">
        <w:rPr>
          <w:rFonts w:ascii="Times New Roman" w:hAnsi="Times New Roman" w:cs="Times New Roman"/>
          <w:sz w:val="24"/>
          <w:szCs w:val="24"/>
        </w:rPr>
        <w:t>. Zum einen darf die Verständlichkeit des Inhalts der an sich in der Satzung zu erlassenden Vorschrift durch die Verweisung nicht leiden</w:t>
      </w:r>
      <w:r w:rsidR="002B7461">
        <w:rPr>
          <w:rFonts w:ascii="Times New Roman" w:hAnsi="Times New Roman" w:cs="Times New Roman"/>
          <w:sz w:val="24"/>
          <w:szCs w:val="24"/>
        </w:rPr>
        <w:t>. In der verweisenden Bestimmung der Satzung muss daher eindeutig geregelt sein, „welche Bestimmungen der Richtlinie Teil der Satzung werden und somit für die vereinfachten Verfahren zur Anwendung kommen“</w:t>
      </w:r>
      <w:r w:rsidR="002B7461">
        <w:rPr>
          <w:rStyle w:val="Funotenzeichen"/>
          <w:rFonts w:ascii="Times New Roman" w:hAnsi="Times New Roman" w:cs="Times New Roman"/>
          <w:sz w:val="24"/>
          <w:szCs w:val="24"/>
        </w:rPr>
        <w:footnoteReference w:id="82"/>
      </w:r>
      <w:r w:rsidR="002B7461">
        <w:rPr>
          <w:rFonts w:ascii="Times New Roman" w:hAnsi="Times New Roman" w:cs="Times New Roman"/>
          <w:sz w:val="24"/>
          <w:szCs w:val="24"/>
        </w:rPr>
        <w:t xml:space="preserve">. Zum anderen darf sich kein Rechtssetzer seiner </w:t>
      </w:r>
      <w:r w:rsidR="000C1718">
        <w:rPr>
          <w:rFonts w:ascii="Times New Roman" w:hAnsi="Times New Roman" w:cs="Times New Roman"/>
          <w:sz w:val="24"/>
          <w:szCs w:val="24"/>
        </w:rPr>
        <w:t xml:space="preserve">ihm durch Gesetz übertragenen </w:t>
      </w:r>
      <w:r w:rsidR="002B7461">
        <w:rPr>
          <w:rFonts w:ascii="Times New Roman" w:hAnsi="Times New Roman" w:cs="Times New Roman"/>
          <w:sz w:val="24"/>
          <w:szCs w:val="24"/>
        </w:rPr>
        <w:t>Normsetzungsbefugnisse entledigen</w:t>
      </w:r>
      <w:r w:rsidR="00205426">
        <w:rPr>
          <w:rStyle w:val="Funotenzeichen"/>
          <w:rFonts w:ascii="Times New Roman" w:hAnsi="Times New Roman" w:cs="Times New Roman"/>
          <w:sz w:val="24"/>
          <w:szCs w:val="24"/>
        </w:rPr>
        <w:footnoteReference w:id="83"/>
      </w:r>
      <w:r w:rsidR="002B7461">
        <w:rPr>
          <w:rFonts w:ascii="Times New Roman" w:hAnsi="Times New Roman" w:cs="Times New Roman"/>
          <w:sz w:val="24"/>
          <w:szCs w:val="24"/>
        </w:rPr>
        <w:t xml:space="preserve">. Daher </w:t>
      </w:r>
      <w:r w:rsidR="00B5352F">
        <w:rPr>
          <w:rFonts w:ascii="Times New Roman" w:hAnsi="Times New Roman" w:cs="Times New Roman"/>
          <w:sz w:val="24"/>
          <w:szCs w:val="24"/>
        </w:rPr>
        <w:t xml:space="preserve">wäre </w:t>
      </w:r>
      <w:r w:rsidR="002B7461">
        <w:rPr>
          <w:rFonts w:ascii="Times New Roman" w:hAnsi="Times New Roman" w:cs="Times New Roman"/>
          <w:sz w:val="24"/>
          <w:szCs w:val="24"/>
        </w:rPr>
        <w:t>bloß ein „statischer Verweis“ zulässig, der „auf eine bestimmte, genau definierte Fassung der Richtlinie Bezug“ nimmt</w:t>
      </w:r>
      <w:r w:rsidR="002B7461">
        <w:rPr>
          <w:rStyle w:val="Funotenzeichen"/>
          <w:rFonts w:ascii="Times New Roman" w:hAnsi="Times New Roman" w:cs="Times New Roman"/>
          <w:sz w:val="24"/>
          <w:szCs w:val="24"/>
        </w:rPr>
        <w:footnoteReference w:id="84"/>
      </w:r>
      <w:r w:rsidR="002B7461">
        <w:rPr>
          <w:rFonts w:ascii="Times New Roman" w:hAnsi="Times New Roman" w:cs="Times New Roman"/>
          <w:sz w:val="24"/>
          <w:szCs w:val="24"/>
        </w:rPr>
        <w:t>: „Nur auf diese Weise kann verhindert werden, dass eine Änderung der Richtlinie eine automatische Änderung der Satzung bewirkt und so in die Verordnungskompetenz des Senats eingegriffen wird.“</w:t>
      </w:r>
      <w:r w:rsidR="002B7461">
        <w:rPr>
          <w:rStyle w:val="Funotenzeichen"/>
          <w:rFonts w:ascii="Times New Roman" w:hAnsi="Times New Roman" w:cs="Times New Roman"/>
          <w:sz w:val="24"/>
          <w:szCs w:val="24"/>
        </w:rPr>
        <w:footnoteReference w:id="85"/>
      </w:r>
      <w:r w:rsidR="00BA28ED">
        <w:rPr>
          <w:rFonts w:ascii="Times New Roman" w:hAnsi="Times New Roman" w:cs="Times New Roman"/>
          <w:sz w:val="24"/>
          <w:szCs w:val="24"/>
        </w:rPr>
        <w:t xml:space="preserve"> </w:t>
      </w:r>
      <w:r w:rsidR="002B28E8">
        <w:rPr>
          <w:rFonts w:ascii="Times New Roman" w:hAnsi="Times New Roman" w:cs="Times New Roman"/>
          <w:sz w:val="24"/>
          <w:szCs w:val="24"/>
        </w:rPr>
        <w:t>Das BMWFW schließt offenbar aus den</w:t>
      </w:r>
      <w:r w:rsidR="006A6E4C">
        <w:rPr>
          <w:rFonts w:ascii="Times New Roman" w:hAnsi="Times New Roman" w:cs="Times New Roman"/>
          <w:sz w:val="24"/>
          <w:szCs w:val="24"/>
        </w:rPr>
        <w:t xml:space="preserve"> vom VfGH </w:t>
      </w:r>
      <w:r w:rsidR="002B28E8">
        <w:rPr>
          <w:rFonts w:ascii="Times New Roman" w:hAnsi="Times New Roman" w:cs="Times New Roman"/>
          <w:sz w:val="24"/>
          <w:szCs w:val="24"/>
        </w:rPr>
        <w:t xml:space="preserve">unmittelbar aus dem B-VG abgeleiteten Anforderungen an den einfachen Bundes- oder Landesgesetzgeber, dass auch die Regelungen des UG den auf Grundlage dieses Gesetzes </w:t>
      </w:r>
      <w:r w:rsidR="000E60A8">
        <w:rPr>
          <w:rFonts w:ascii="Times New Roman" w:hAnsi="Times New Roman" w:cs="Times New Roman"/>
          <w:sz w:val="24"/>
          <w:szCs w:val="24"/>
        </w:rPr>
        <w:t>ermächtigten</w:t>
      </w:r>
      <w:r w:rsidR="002B28E8">
        <w:rPr>
          <w:rFonts w:ascii="Times New Roman" w:hAnsi="Times New Roman" w:cs="Times New Roman"/>
          <w:sz w:val="24"/>
          <w:szCs w:val="24"/>
        </w:rPr>
        <w:t xml:space="preserve"> Verordnungsgebern verwehren, ihre Zuständigkeiten wechselseitig zu delegieren. </w:t>
      </w:r>
      <w:r w:rsidR="00991411">
        <w:rPr>
          <w:rFonts w:ascii="Times New Roman" w:hAnsi="Times New Roman" w:cs="Times New Roman"/>
          <w:sz w:val="24"/>
          <w:szCs w:val="24"/>
        </w:rPr>
        <w:t xml:space="preserve">Ob die für das Verhältnis zwischen zwei Gesetzgebern entwickelten Anforderungen </w:t>
      </w:r>
      <w:r w:rsidR="0037054F">
        <w:rPr>
          <w:rFonts w:ascii="Times New Roman" w:hAnsi="Times New Roman" w:cs="Times New Roman"/>
          <w:sz w:val="24"/>
          <w:szCs w:val="24"/>
        </w:rPr>
        <w:t xml:space="preserve">im Wege der Interpretation des UG </w:t>
      </w:r>
      <w:r w:rsidR="00064844">
        <w:rPr>
          <w:rFonts w:ascii="Times New Roman" w:hAnsi="Times New Roman" w:cs="Times New Roman"/>
          <w:sz w:val="24"/>
          <w:szCs w:val="24"/>
        </w:rPr>
        <w:t xml:space="preserve">oder gar aus verfassungsrechtlichen Gründen </w:t>
      </w:r>
      <w:r w:rsidR="0037054F">
        <w:rPr>
          <w:rFonts w:ascii="Times New Roman" w:hAnsi="Times New Roman" w:cs="Times New Roman"/>
          <w:sz w:val="24"/>
          <w:szCs w:val="24"/>
        </w:rPr>
        <w:t>tatsächlich ohne Weiteres auch auf das Verhältnis zwischen zwei Verordnungsgeber</w:t>
      </w:r>
      <w:r w:rsidR="00A33213">
        <w:rPr>
          <w:rFonts w:ascii="Times New Roman" w:hAnsi="Times New Roman" w:cs="Times New Roman"/>
          <w:sz w:val="24"/>
          <w:szCs w:val="24"/>
        </w:rPr>
        <w:t>n</w:t>
      </w:r>
      <w:r w:rsidR="0037054F">
        <w:rPr>
          <w:rFonts w:ascii="Times New Roman" w:hAnsi="Times New Roman" w:cs="Times New Roman"/>
          <w:sz w:val="24"/>
          <w:szCs w:val="24"/>
        </w:rPr>
        <w:t xml:space="preserve"> übertragen werden können, soll hier </w:t>
      </w:r>
      <w:r w:rsidR="00304C5D">
        <w:rPr>
          <w:rFonts w:ascii="Times New Roman" w:hAnsi="Times New Roman" w:cs="Times New Roman"/>
          <w:sz w:val="24"/>
          <w:szCs w:val="24"/>
        </w:rPr>
        <w:t>offen bleiben</w:t>
      </w:r>
      <w:r w:rsidR="0037054F">
        <w:rPr>
          <w:rFonts w:ascii="Times New Roman" w:hAnsi="Times New Roman" w:cs="Times New Roman"/>
          <w:sz w:val="24"/>
          <w:szCs w:val="24"/>
        </w:rPr>
        <w:t xml:space="preserve">. Immerhin scheint aber </w:t>
      </w:r>
      <w:r w:rsidR="00064844">
        <w:rPr>
          <w:rFonts w:ascii="Times New Roman" w:hAnsi="Times New Roman" w:cs="Times New Roman"/>
          <w:sz w:val="24"/>
          <w:szCs w:val="24"/>
        </w:rPr>
        <w:t xml:space="preserve">zumindest </w:t>
      </w:r>
      <w:r w:rsidR="0037054F">
        <w:rPr>
          <w:rFonts w:ascii="Times New Roman" w:hAnsi="Times New Roman" w:cs="Times New Roman"/>
          <w:sz w:val="24"/>
          <w:szCs w:val="24"/>
        </w:rPr>
        <w:t>gegen die Zulässigkeit</w:t>
      </w:r>
      <w:r w:rsidR="002B7461">
        <w:rPr>
          <w:rFonts w:ascii="Times New Roman" w:hAnsi="Times New Roman" w:cs="Times New Roman"/>
          <w:sz w:val="24"/>
          <w:szCs w:val="24"/>
        </w:rPr>
        <w:t xml:space="preserve"> dynamischer Verweisungen</w:t>
      </w:r>
      <w:r w:rsidR="007F1060">
        <w:rPr>
          <w:rFonts w:ascii="Times New Roman" w:hAnsi="Times New Roman" w:cs="Times New Roman"/>
          <w:sz w:val="24"/>
          <w:szCs w:val="24"/>
        </w:rPr>
        <w:t xml:space="preserve"> </w:t>
      </w:r>
      <w:r w:rsidR="0037054F">
        <w:rPr>
          <w:rFonts w:ascii="Times New Roman" w:hAnsi="Times New Roman" w:cs="Times New Roman"/>
          <w:sz w:val="24"/>
          <w:szCs w:val="24"/>
        </w:rPr>
        <w:t xml:space="preserve">in der Satzung auf eine Richtlinie des Rektorats </w:t>
      </w:r>
      <w:r w:rsidR="002B28E8">
        <w:rPr>
          <w:rFonts w:ascii="Times New Roman" w:hAnsi="Times New Roman" w:cs="Times New Roman"/>
          <w:sz w:val="24"/>
          <w:szCs w:val="24"/>
        </w:rPr>
        <w:t>folgendes Argument zu sprechen</w:t>
      </w:r>
      <w:r w:rsidR="007F1060">
        <w:rPr>
          <w:rFonts w:ascii="Times New Roman" w:hAnsi="Times New Roman" w:cs="Times New Roman"/>
          <w:sz w:val="24"/>
          <w:szCs w:val="24"/>
        </w:rPr>
        <w:t>:</w:t>
      </w:r>
      <w:r w:rsidR="002B7461">
        <w:rPr>
          <w:rFonts w:ascii="Times New Roman" w:hAnsi="Times New Roman" w:cs="Times New Roman"/>
          <w:sz w:val="24"/>
          <w:szCs w:val="24"/>
        </w:rPr>
        <w:t xml:space="preserve"> Der Senat, der einmal </w:t>
      </w:r>
      <w:r w:rsidR="000C1718">
        <w:rPr>
          <w:rFonts w:ascii="Times New Roman" w:hAnsi="Times New Roman" w:cs="Times New Roman"/>
          <w:sz w:val="24"/>
          <w:szCs w:val="24"/>
        </w:rPr>
        <w:t xml:space="preserve">in der Satzung </w:t>
      </w:r>
      <w:r w:rsidR="002B7461">
        <w:rPr>
          <w:rFonts w:ascii="Times New Roman" w:hAnsi="Times New Roman" w:cs="Times New Roman"/>
          <w:sz w:val="24"/>
          <w:szCs w:val="24"/>
        </w:rPr>
        <w:t>einer dynamischen Verweisung auf eine Richtlinie des Rektorats zugestimmt und damit seine Befugnisse insoweit auf das Rektorat übertragen hat, k</w:t>
      </w:r>
      <w:r w:rsidR="000C1718">
        <w:rPr>
          <w:rFonts w:ascii="Times New Roman" w:hAnsi="Times New Roman" w:cs="Times New Roman"/>
          <w:sz w:val="24"/>
          <w:szCs w:val="24"/>
        </w:rPr>
        <w:t>önnte</w:t>
      </w:r>
      <w:r w:rsidR="002B7461">
        <w:rPr>
          <w:rFonts w:ascii="Times New Roman" w:hAnsi="Times New Roman" w:cs="Times New Roman"/>
          <w:sz w:val="24"/>
          <w:szCs w:val="24"/>
        </w:rPr>
        <w:t xml:space="preserve"> diese Zuständigkeit nicht ohne Weiteres wieder durch eine Beseitigung der Verweisung an sich ziehen</w:t>
      </w:r>
      <w:r w:rsidR="000C1718">
        <w:rPr>
          <w:rFonts w:ascii="Times New Roman" w:hAnsi="Times New Roman" w:cs="Times New Roman"/>
          <w:sz w:val="24"/>
          <w:szCs w:val="24"/>
        </w:rPr>
        <w:t>. J</w:t>
      </w:r>
      <w:r w:rsidR="002B7461">
        <w:rPr>
          <w:rFonts w:ascii="Times New Roman" w:hAnsi="Times New Roman" w:cs="Times New Roman"/>
          <w:sz w:val="24"/>
          <w:szCs w:val="24"/>
        </w:rPr>
        <w:t xml:space="preserve">ede Änderung der Satzung </w:t>
      </w:r>
      <w:r w:rsidR="000C1718">
        <w:rPr>
          <w:rFonts w:ascii="Times New Roman" w:hAnsi="Times New Roman" w:cs="Times New Roman"/>
          <w:sz w:val="24"/>
          <w:szCs w:val="24"/>
        </w:rPr>
        <w:t xml:space="preserve">bedarf nämlich gemäß § 22 Abs 1 Z 1 UG </w:t>
      </w:r>
      <w:r w:rsidR="002B7461">
        <w:rPr>
          <w:rFonts w:ascii="Times New Roman" w:hAnsi="Times New Roman" w:cs="Times New Roman"/>
          <w:sz w:val="24"/>
          <w:szCs w:val="24"/>
        </w:rPr>
        <w:t xml:space="preserve">der Initiative </w:t>
      </w:r>
      <w:r w:rsidR="000C1718">
        <w:rPr>
          <w:rFonts w:ascii="Times New Roman" w:hAnsi="Times New Roman" w:cs="Times New Roman"/>
          <w:sz w:val="24"/>
          <w:szCs w:val="24"/>
        </w:rPr>
        <w:t xml:space="preserve">– und damit auch der Zustimmung – </w:t>
      </w:r>
      <w:r w:rsidR="002B7461">
        <w:rPr>
          <w:rFonts w:ascii="Times New Roman" w:hAnsi="Times New Roman" w:cs="Times New Roman"/>
          <w:sz w:val="24"/>
          <w:szCs w:val="24"/>
        </w:rPr>
        <w:t>des</w:t>
      </w:r>
      <w:r w:rsidR="000C1718">
        <w:rPr>
          <w:rFonts w:ascii="Times New Roman" w:hAnsi="Times New Roman" w:cs="Times New Roman"/>
          <w:sz w:val="24"/>
          <w:szCs w:val="24"/>
        </w:rPr>
        <w:t xml:space="preserve"> </w:t>
      </w:r>
      <w:r w:rsidR="002B7461">
        <w:rPr>
          <w:rFonts w:ascii="Times New Roman" w:hAnsi="Times New Roman" w:cs="Times New Roman"/>
          <w:sz w:val="24"/>
          <w:szCs w:val="24"/>
        </w:rPr>
        <w:t xml:space="preserve">Rektorats. </w:t>
      </w:r>
      <w:r w:rsidR="007F1060">
        <w:rPr>
          <w:rFonts w:ascii="Times New Roman" w:hAnsi="Times New Roman" w:cs="Times New Roman"/>
          <w:sz w:val="24"/>
          <w:szCs w:val="24"/>
        </w:rPr>
        <w:t xml:space="preserve">Eine einmal vorgenommene Zuständigkeitsübertragung an das Rektorat könnte sich </w:t>
      </w:r>
      <w:r w:rsidR="002872AF">
        <w:rPr>
          <w:rFonts w:ascii="Times New Roman" w:hAnsi="Times New Roman" w:cs="Times New Roman"/>
          <w:sz w:val="24"/>
          <w:szCs w:val="24"/>
        </w:rPr>
        <w:t xml:space="preserve">auf diese Weise </w:t>
      </w:r>
      <w:r w:rsidR="00B5352F">
        <w:rPr>
          <w:rFonts w:ascii="Times New Roman" w:hAnsi="Times New Roman" w:cs="Times New Roman"/>
          <w:sz w:val="24"/>
          <w:szCs w:val="24"/>
        </w:rPr>
        <w:t xml:space="preserve">für den Senat </w:t>
      </w:r>
      <w:r w:rsidR="007F1060">
        <w:rPr>
          <w:rFonts w:ascii="Times New Roman" w:hAnsi="Times New Roman" w:cs="Times New Roman"/>
          <w:sz w:val="24"/>
          <w:szCs w:val="24"/>
        </w:rPr>
        <w:t xml:space="preserve">als irreversibel erweisen. </w:t>
      </w:r>
    </w:p>
    <w:p w14:paraId="613D19E8" w14:textId="1228F325" w:rsidR="007F1060" w:rsidRDefault="007F1060" w:rsidP="009978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Allerdings </w:t>
      </w:r>
      <w:r w:rsidR="009B32FD">
        <w:rPr>
          <w:rFonts w:ascii="Times New Roman" w:hAnsi="Times New Roman" w:cs="Times New Roman"/>
          <w:sz w:val="24"/>
          <w:szCs w:val="24"/>
        </w:rPr>
        <w:t xml:space="preserve">ist auch noch zu fragen, unter welchen Voraussetzungen das Rektorat überhaupt im Anwendungsbereich des § 99 Abs 4 UG eine Richtlinie </w:t>
      </w:r>
      <w:r w:rsidR="00944080">
        <w:rPr>
          <w:rFonts w:ascii="Times New Roman" w:hAnsi="Times New Roman" w:cs="Times New Roman"/>
          <w:sz w:val="24"/>
          <w:szCs w:val="24"/>
        </w:rPr>
        <w:t>vorsehen darf</w:t>
      </w:r>
      <w:r w:rsidR="009B32FD">
        <w:rPr>
          <w:rFonts w:ascii="Times New Roman" w:hAnsi="Times New Roman" w:cs="Times New Roman"/>
          <w:sz w:val="24"/>
          <w:szCs w:val="24"/>
        </w:rPr>
        <w:t xml:space="preserve">. </w:t>
      </w:r>
      <w:r w:rsidR="002872AF">
        <w:rPr>
          <w:rFonts w:ascii="Times New Roman" w:hAnsi="Times New Roman" w:cs="Times New Roman"/>
          <w:sz w:val="24"/>
          <w:szCs w:val="24"/>
        </w:rPr>
        <w:t xml:space="preserve">Denn der Hinweis in § 99 Abs 4 letzter Satz UG auf die Festlegung näherer Bestimmungen in der Satzung könnte auch so verstanden werden, dass andere Organe gar keine </w:t>
      </w:r>
      <w:r w:rsidR="00944080">
        <w:rPr>
          <w:rFonts w:ascii="Times New Roman" w:hAnsi="Times New Roman" w:cs="Times New Roman"/>
          <w:sz w:val="24"/>
          <w:szCs w:val="24"/>
        </w:rPr>
        <w:t xml:space="preserve">Zuständigkeit </w:t>
      </w:r>
      <w:r w:rsidR="002872AF">
        <w:rPr>
          <w:rFonts w:ascii="Times New Roman" w:hAnsi="Times New Roman" w:cs="Times New Roman"/>
          <w:sz w:val="24"/>
          <w:szCs w:val="24"/>
        </w:rPr>
        <w:t>haben, Rechtsvorschriften generell</w:t>
      </w:r>
      <w:r w:rsidR="0036025E">
        <w:rPr>
          <w:rFonts w:ascii="Times New Roman" w:hAnsi="Times New Roman" w:cs="Times New Roman"/>
          <w:sz w:val="24"/>
          <w:szCs w:val="24"/>
        </w:rPr>
        <w:t>-abstrakter</w:t>
      </w:r>
      <w:r w:rsidR="004362DE">
        <w:rPr>
          <w:rFonts w:ascii="Times New Roman" w:hAnsi="Times New Roman" w:cs="Times New Roman"/>
          <w:sz w:val="24"/>
          <w:szCs w:val="24"/>
        </w:rPr>
        <w:t xml:space="preserve"> Art </w:t>
      </w:r>
      <w:r w:rsidR="00944080">
        <w:rPr>
          <w:rFonts w:ascii="Times New Roman" w:hAnsi="Times New Roman" w:cs="Times New Roman"/>
          <w:sz w:val="24"/>
          <w:szCs w:val="24"/>
        </w:rPr>
        <w:t>über das vereinfachte Berufungsverfahren</w:t>
      </w:r>
      <w:r w:rsidR="004362DE">
        <w:rPr>
          <w:rFonts w:ascii="Times New Roman" w:hAnsi="Times New Roman" w:cs="Times New Roman"/>
          <w:sz w:val="24"/>
          <w:szCs w:val="24"/>
        </w:rPr>
        <w:t xml:space="preserve"> des § 99 Abs 4 UG zu erlassen. Das BMWFW geht </w:t>
      </w:r>
      <w:r w:rsidR="00C73E6A">
        <w:rPr>
          <w:rFonts w:ascii="Times New Roman" w:hAnsi="Times New Roman" w:cs="Times New Roman"/>
          <w:sz w:val="24"/>
          <w:szCs w:val="24"/>
        </w:rPr>
        <w:t xml:space="preserve">in dieser Rechtsauskunft </w:t>
      </w:r>
      <w:r w:rsidR="009658F1">
        <w:rPr>
          <w:rFonts w:ascii="Times New Roman" w:hAnsi="Times New Roman" w:cs="Times New Roman"/>
          <w:sz w:val="24"/>
          <w:szCs w:val="24"/>
        </w:rPr>
        <w:t xml:space="preserve">offenbar und </w:t>
      </w:r>
      <w:r w:rsidR="004362DE">
        <w:rPr>
          <w:rFonts w:ascii="Times New Roman" w:hAnsi="Times New Roman" w:cs="Times New Roman"/>
          <w:sz w:val="24"/>
          <w:szCs w:val="24"/>
        </w:rPr>
        <w:t xml:space="preserve">zurecht davon aus, dass § 99 Abs 4 letzter Satz UG die Zuständigkeiten anderer Organe – wie die des Rektorats – nicht beeinträchtigt. </w:t>
      </w:r>
      <w:r w:rsidR="009658F1">
        <w:rPr>
          <w:rFonts w:ascii="Times New Roman" w:hAnsi="Times New Roman" w:cs="Times New Roman"/>
          <w:sz w:val="24"/>
          <w:szCs w:val="24"/>
        </w:rPr>
        <w:t>I</w:t>
      </w:r>
      <w:r w:rsidR="007A02D1">
        <w:rPr>
          <w:rFonts w:ascii="Times New Roman" w:hAnsi="Times New Roman" w:cs="Times New Roman"/>
          <w:sz w:val="24"/>
          <w:szCs w:val="24"/>
        </w:rPr>
        <w:t xml:space="preserve">n der Satzung darf das vereinfachte Berufungsverfahren </w:t>
      </w:r>
      <w:r w:rsidR="009658F1">
        <w:rPr>
          <w:rFonts w:ascii="Times New Roman" w:hAnsi="Times New Roman" w:cs="Times New Roman"/>
          <w:sz w:val="24"/>
          <w:szCs w:val="24"/>
        </w:rPr>
        <w:t xml:space="preserve">nämlich </w:t>
      </w:r>
      <w:r w:rsidR="007A02D1">
        <w:rPr>
          <w:rFonts w:ascii="Times New Roman" w:hAnsi="Times New Roman" w:cs="Times New Roman"/>
          <w:sz w:val="24"/>
          <w:szCs w:val="24"/>
        </w:rPr>
        <w:t xml:space="preserve">nicht beliebig geregelt werden, sondern nur unter Beachtung der im Gesetz </w:t>
      </w:r>
      <w:r w:rsidR="00C73E6A">
        <w:rPr>
          <w:rFonts w:ascii="Times New Roman" w:hAnsi="Times New Roman" w:cs="Times New Roman"/>
          <w:sz w:val="24"/>
          <w:szCs w:val="24"/>
        </w:rPr>
        <w:t xml:space="preserve">enthaltenen </w:t>
      </w:r>
      <w:r w:rsidR="007A02D1">
        <w:rPr>
          <w:rFonts w:ascii="Times New Roman" w:hAnsi="Times New Roman" w:cs="Times New Roman"/>
          <w:sz w:val="24"/>
          <w:szCs w:val="24"/>
        </w:rPr>
        <w:t>Vorgaben</w:t>
      </w:r>
      <w:r w:rsidR="00A04B67">
        <w:rPr>
          <w:rStyle w:val="Funotenzeichen"/>
          <w:rFonts w:ascii="Times New Roman" w:hAnsi="Times New Roman" w:cs="Times New Roman"/>
          <w:sz w:val="24"/>
          <w:szCs w:val="24"/>
        </w:rPr>
        <w:footnoteReference w:id="86"/>
      </w:r>
      <w:r w:rsidR="007A02D1">
        <w:rPr>
          <w:rFonts w:ascii="Times New Roman" w:hAnsi="Times New Roman" w:cs="Times New Roman"/>
          <w:sz w:val="24"/>
          <w:szCs w:val="24"/>
        </w:rPr>
        <w:t>. §</w:t>
      </w:r>
      <w:r w:rsidR="004362DE">
        <w:rPr>
          <w:rFonts w:ascii="Times New Roman" w:hAnsi="Times New Roman" w:cs="Times New Roman"/>
          <w:sz w:val="24"/>
          <w:szCs w:val="24"/>
        </w:rPr>
        <w:t xml:space="preserve"> 99 Abs 4 letzter Satz UG ändert somit nichts daran, dass „Ordnungsvorschriften“ </w:t>
      </w:r>
      <w:r w:rsidR="007A02D1">
        <w:rPr>
          <w:rFonts w:ascii="Times New Roman" w:hAnsi="Times New Roman" w:cs="Times New Roman"/>
          <w:sz w:val="24"/>
          <w:szCs w:val="24"/>
        </w:rPr>
        <w:t>nur dann</w:t>
      </w:r>
      <w:r w:rsidR="004362DE">
        <w:rPr>
          <w:rFonts w:ascii="Times New Roman" w:hAnsi="Times New Roman" w:cs="Times New Roman"/>
          <w:sz w:val="24"/>
          <w:szCs w:val="24"/>
        </w:rPr>
        <w:t xml:space="preserve"> nach § 19 Abs 1 UG in der Satzung zu regeln sind, </w:t>
      </w:r>
      <w:r w:rsidR="007A02D1">
        <w:rPr>
          <w:rFonts w:ascii="Times New Roman" w:hAnsi="Times New Roman" w:cs="Times New Roman"/>
          <w:sz w:val="24"/>
          <w:szCs w:val="24"/>
        </w:rPr>
        <w:t>wenn nicht</w:t>
      </w:r>
      <w:r w:rsidR="004362DE">
        <w:rPr>
          <w:rFonts w:ascii="Times New Roman" w:hAnsi="Times New Roman" w:cs="Times New Roman"/>
          <w:sz w:val="24"/>
          <w:szCs w:val="24"/>
        </w:rPr>
        <w:t xml:space="preserve"> nach im Verhältnis zu § 19 Abs 1 UG spezielleren Regelungen andere Organe </w:t>
      </w:r>
      <w:r w:rsidR="00A04B67">
        <w:rPr>
          <w:rFonts w:ascii="Times New Roman" w:hAnsi="Times New Roman" w:cs="Times New Roman"/>
          <w:sz w:val="24"/>
          <w:szCs w:val="24"/>
        </w:rPr>
        <w:t xml:space="preserve">für ihre Erlassung </w:t>
      </w:r>
      <w:r w:rsidR="004362DE">
        <w:rPr>
          <w:rFonts w:ascii="Times New Roman" w:hAnsi="Times New Roman" w:cs="Times New Roman"/>
          <w:sz w:val="24"/>
          <w:szCs w:val="24"/>
        </w:rPr>
        <w:t>zuständig sind</w:t>
      </w:r>
      <w:r w:rsidR="007A02D1">
        <w:rPr>
          <w:rStyle w:val="Funotenzeichen"/>
          <w:rFonts w:ascii="Times New Roman" w:hAnsi="Times New Roman" w:cs="Times New Roman"/>
          <w:sz w:val="24"/>
          <w:szCs w:val="24"/>
        </w:rPr>
        <w:footnoteReference w:id="87"/>
      </w:r>
      <w:r w:rsidR="004362DE">
        <w:rPr>
          <w:rFonts w:ascii="Times New Roman" w:hAnsi="Times New Roman" w:cs="Times New Roman"/>
          <w:sz w:val="24"/>
          <w:szCs w:val="24"/>
        </w:rPr>
        <w:t xml:space="preserve">. </w:t>
      </w:r>
      <w:r w:rsidR="009B32FD">
        <w:rPr>
          <w:rFonts w:ascii="Times New Roman" w:hAnsi="Times New Roman" w:cs="Times New Roman"/>
          <w:sz w:val="24"/>
          <w:szCs w:val="24"/>
        </w:rPr>
        <w:t xml:space="preserve">Die bisherigen Überlegungen haben gezeigt, dass </w:t>
      </w:r>
      <w:r w:rsidR="00412508">
        <w:rPr>
          <w:rFonts w:ascii="Times New Roman" w:hAnsi="Times New Roman" w:cs="Times New Roman"/>
          <w:sz w:val="24"/>
          <w:szCs w:val="24"/>
        </w:rPr>
        <w:t>die Ausschreibung</w:t>
      </w:r>
      <w:r w:rsidR="009B32FD">
        <w:rPr>
          <w:rFonts w:ascii="Times New Roman" w:hAnsi="Times New Roman" w:cs="Times New Roman"/>
          <w:sz w:val="24"/>
          <w:szCs w:val="24"/>
        </w:rPr>
        <w:t xml:space="preserve"> der Stellen nach § 99 Abs 4 UG </w:t>
      </w:r>
      <w:r w:rsidR="00412508">
        <w:rPr>
          <w:rFonts w:ascii="Times New Roman" w:hAnsi="Times New Roman" w:cs="Times New Roman"/>
          <w:sz w:val="24"/>
          <w:szCs w:val="24"/>
        </w:rPr>
        <w:t>durch das Rektorat erfolgt</w:t>
      </w:r>
      <w:r w:rsidR="00C73E6A">
        <w:rPr>
          <w:rFonts w:ascii="Times New Roman" w:hAnsi="Times New Roman" w:cs="Times New Roman"/>
          <w:sz w:val="24"/>
          <w:szCs w:val="24"/>
        </w:rPr>
        <w:t xml:space="preserve"> und somit </w:t>
      </w:r>
      <w:r w:rsidR="0036025E">
        <w:rPr>
          <w:rFonts w:ascii="Times New Roman" w:hAnsi="Times New Roman" w:cs="Times New Roman"/>
          <w:sz w:val="24"/>
          <w:szCs w:val="24"/>
        </w:rPr>
        <w:t>in diesem Fall</w:t>
      </w:r>
      <w:r w:rsidR="00C73E6A">
        <w:rPr>
          <w:rFonts w:ascii="Times New Roman" w:hAnsi="Times New Roman" w:cs="Times New Roman"/>
          <w:sz w:val="24"/>
          <w:szCs w:val="24"/>
        </w:rPr>
        <w:t xml:space="preserve"> keine Satzungszuständigkeit nach § 19 Abs 1 UG besteht</w:t>
      </w:r>
      <w:r w:rsidR="00944080">
        <w:rPr>
          <w:rStyle w:val="Funotenzeichen"/>
          <w:rFonts w:ascii="Times New Roman" w:hAnsi="Times New Roman" w:cs="Times New Roman"/>
          <w:sz w:val="24"/>
          <w:szCs w:val="24"/>
        </w:rPr>
        <w:footnoteReference w:id="88"/>
      </w:r>
      <w:r w:rsidR="009B32FD">
        <w:rPr>
          <w:rFonts w:ascii="Times New Roman" w:hAnsi="Times New Roman" w:cs="Times New Roman"/>
          <w:sz w:val="24"/>
          <w:szCs w:val="24"/>
        </w:rPr>
        <w:t xml:space="preserve">. Das Rektorat könnte daher die Details und insbesondere auch die Vorgangsweise bei der Festlegung des Ausschreibungstextes in einer Richtlinie regeln. </w:t>
      </w:r>
      <w:r w:rsidR="00C73E6A">
        <w:rPr>
          <w:rFonts w:ascii="Times New Roman" w:hAnsi="Times New Roman" w:cs="Times New Roman"/>
          <w:sz w:val="24"/>
          <w:szCs w:val="24"/>
        </w:rPr>
        <w:t>Wenn d</w:t>
      </w:r>
      <w:r w:rsidR="009B32FD">
        <w:rPr>
          <w:rFonts w:ascii="Times New Roman" w:hAnsi="Times New Roman" w:cs="Times New Roman"/>
          <w:sz w:val="24"/>
          <w:szCs w:val="24"/>
        </w:rPr>
        <w:t>er Satzungsgeber – Rektorat und Senat im Zusammenwirken –</w:t>
      </w:r>
      <w:r w:rsidR="00C73E6A">
        <w:rPr>
          <w:rFonts w:ascii="Times New Roman" w:hAnsi="Times New Roman" w:cs="Times New Roman"/>
          <w:sz w:val="24"/>
          <w:szCs w:val="24"/>
        </w:rPr>
        <w:t xml:space="preserve"> </w:t>
      </w:r>
      <w:r w:rsidR="00797B8E">
        <w:rPr>
          <w:rFonts w:ascii="Times New Roman" w:hAnsi="Times New Roman" w:cs="Times New Roman"/>
          <w:sz w:val="24"/>
          <w:szCs w:val="24"/>
        </w:rPr>
        <w:t>dafür</w:t>
      </w:r>
      <w:r w:rsidR="009B32FD">
        <w:rPr>
          <w:rFonts w:ascii="Times New Roman" w:hAnsi="Times New Roman" w:cs="Times New Roman"/>
          <w:sz w:val="24"/>
          <w:szCs w:val="24"/>
        </w:rPr>
        <w:t xml:space="preserve"> </w:t>
      </w:r>
      <w:r w:rsidR="00412508">
        <w:rPr>
          <w:rFonts w:ascii="Times New Roman" w:hAnsi="Times New Roman" w:cs="Times New Roman"/>
          <w:sz w:val="24"/>
          <w:szCs w:val="24"/>
        </w:rPr>
        <w:t xml:space="preserve">an sich </w:t>
      </w:r>
      <w:r w:rsidR="009B32FD">
        <w:rPr>
          <w:rFonts w:ascii="Times New Roman" w:hAnsi="Times New Roman" w:cs="Times New Roman"/>
          <w:sz w:val="24"/>
          <w:szCs w:val="24"/>
        </w:rPr>
        <w:t>keine Zuständigkeit</w:t>
      </w:r>
      <w:r w:rsidR="00C73E6A">
        <w:rPr>
          <w:rFonts w:ascii="Times New Roman" w:hAnsi="Times New Roman" w:cs="Times New Roman"/>
          <w:sz w:val="24"/>
          <w:szCs w:val="24"/>
        </w:rPr>
        <w:t xml:space="preserve"> hat, s</w:t>
      </w:r>
      <w:r w:rsidR="00412508">
        <w:rPr>
          <w:rFonts w:ascii="Times New Roman" w:hAnsi="Times New Roman" w:cs="Times New Roman"/>
          <w:sz w:val="24"/>
          <w:szCs w:val="24"/>
        </w:rPr>
        <w:t xml:space="preserve">tellt sich aber die Frage, ob in die Satzung dennoch </w:t>
      </w:r>
      <w:r w:rsidR="00C73E6A">
        <w:rPr>
          <w:rFonts w:ascii="Times New Roman" w:hAnsi="Times New Roman" w:cs="Times New Roman"/>
          <w:sz w:val="24"/>
          <w:szCs w:val="24"/>
        </w:rPr>
        <w:t xml:space="preserve">solche </w:t>
      </w:r>
      <w:r w:rsidR="00412508">
        <w:rPr>
          <w:rFonts w:ascii="Times New Roman" w:hAnsi="Times New Roman" w:cs="Times New Roman"/>
          <w:sz w:val="24"/>
          <w:szCs w:val="24"/>
        </w:rPr>
        <w:t>Regelungen aufgenommen werden dürfen. D</w:t>
      </w:r>
      <w:r w:rsidR="009B32FD">
        <w:rPr>
          <w:rFonts w:ascii="Times New Roman" w:hAnsi="Times New Roman" w:cs="Times New Roman"/>
          <w:sz w:val="24"/>
          <w:szCs w:val="24"/>
        </w:rPr>
        <w:t xml:space="preserve">as BMWFW </w:t>
      </w:r>
      <w:r w:rsidR="00412508">
        <w:rPr>
          <w:rFonts w:ascii="Times New Roman" w:hAnsi="Times New Roman" w:cs="Times New Roman"/>
          <w:sz w:val="24"/>
          <w:szCs w:val="24"/>
        </w:rPr>
        <w:t xml:space="preserve">nimmt </w:t>
      </w:r>
      <w:r w:rsidR="009B32FD">
        <w:rPr>
          <w:rFonts w:ascii="Times New Roman" w:hAnsi="Times New Roman" w:cs="Times New Roman"/>
          <w:sz w:val="24"/>
          <w:szCs w:val="24"/>
        </w:rPr>
        <w:t>in seiner Anfragebeantwortung an</w:t>
      </w:r>
      <w:r w:rsidR="00412508">
        <w:rPr>
          <w:rFonts w:ascii="Times New Roman" w:hAnsi="Times New Roman" w:cs="Times New Roman"/>
          <w:sz w:val="24"/>
          <w:szCs w:val="24"/>
        </w:rPr>
        <w:t xml:space="preserve">, dass </w:t>
      </w:r>
      <w:r w:rsidR="009B32FD">
        <w:rPr>
          <w:rFonts w:ascii="Times New Roman" w:hAnsi="Times New Roman" w:cs="Times New Roman"/>
          <w:sz w:val="24"/>
          <w:szCs w:val="24"/>
        </w:rPr>
        <w:t xml:space="preserve">in der Satzung „sämtliche Schritte des Verfahrens (…) zu regeln sind“ </w:t>
      </w:r>
      <w:r w:rsidR="00BD118A">
        <w:rPr>
          <w:rFonts w:ascii="Times New Roman" w:hAnsi="Times New Roman" w:cs="Times New Roman"/>
          <w:sz w:val="24"/>
          <w:szCs w:val="24"/>
        </w:rPr>
        <w:t>und die gesetzlichen Vorgaben nicht nur zu „berücksichtigen“, sondern auch „in die Bestimmungen über das vereinfachte Verfahren aufzunehmen sind“</w:t>
      </w:r>
      <w:r w:rsidR="00412508">
        <w:rPr>
          <w:rStyle w:val="Funotenzeichen"/>
          <w:rFonts w:ascii="Times New Roman" w:hAnsi="Times New Roman" w:cs="Times New Roman"/>
          <w:sz w:val="24"/>
          <w:szCs w:val="24"/>
        </w:rPr>
        <w:footnoteReference w:id="89"/>
      </w:r>
      <w:r w:rsidR="00412508">
        <w:rPr>
          <w:rFonts w:ascii="Times New Roman" w:hAnsi="Times New Roman" w:cs="Times New Roman"/>
          <w:sz w:val="24"/>
          <w:szCs w:val="24"/>
        </w:rPr>
        <w:t xml:space="preserve">. Offenbar geht das BMWFW von der </w:t>
      </w:r>
      <w:r w:rsidR="00BD118A">
        <w:rPr>
          <w:rFonts w:ascii="Times New Roman" w:hAnsi="Times New Roman" w:cs="Times New Roman"/>
          <w:sz w:val="24"/>
          <w:szCs w:val="24"/>
        </w:rPr>
        <w:t>Zuständigkeit oder gar d</w:t>
      </w:r>
      <w:r w:rsidR="00412508">
        <w:rPr>
          <w:rFonts w:ascii="Times New Roman" w:hAnsi="Times New Roman" w:cs="Times New Roman"/>
          <w:sz w:val="24"/>
          <w:szCs w:val="24"/>
        </w:rPr>
        <w:t>er</w:t>
      </w:r>
      <w:r w:rsidR="00BD118A">
        <w:rPr>
          <w:rFonts w:ascii="Times New Roman" w:hAnsi="Times New Roman" w:cs="Times New Roman"/>
          <w:sz w:val="24"/>
          <w:szCs w:val="24"/>
        </w:rPr>
        <w:t xml:space="preserve"> Verpflichtung des Satzungsgebers </w:t>
      </w:r>
      <w:r w:rsidR="00C73E6A">
        <w:rPr>
          <w:rFonts w:ascii="Times New Roman" w:hAnsi="Times New Roman" w:cs="Times New Roman"/>
          <w:sz w:val="24"/>
          <w:szCs w:val="24"/>
        </w:rPr>
        <w:t>aus</w:t>
      </w:r>
      <w:r w:rsidR="00BD118A">
        <w:rPr>
          <w:rFonts w:ascii="Times New Roman" w:hAnsi="Times New Roman" w:cs="Times New Roman"/>
          <w:sz w:val="24"/>
          <w:szCs w:val="24"/>
        </w:rPr>
        <w:t xml:space="preserve">, in der Satzung die vom Gesetzgeber oder anderen Normsetzern erlassenen Vorschriften </w:t>
      </w:r>
      <w:r w:rsidR="006A6E4C">
        <w:rPr>
          <w:rFonts w:ascii="Times New Roman" w:hAnsi="Times New Roman" w:cs="Times New Roman"/>
          <w:sz w:val="24"/>
          <w:szCs w:val="24"/>
        </w:rPr>
        <w:t xml:space="preserve">über das vereinfachte Berufungsverfahren des § 99 Abs 4 UG </w:t>
      </w:r>
      <w:r w:rsidR="00BD118A">
        <w:rPr>
          <w:rFonts w:ascii="Times New Roman" w:hAnsi="Times New Roman" w:cs="Times New Roman"/>
          <w:sz w:val="24"/>
          <w:szCs w:val="24"/>
        </w:rPr>
        <w:t xml:space="preserve">zu wiederholen. </w:t>
      </w:r>
      <w:r w:rsidR="006A6E4C">
        <w:rPr>
          <w:rFonts w:ascii="Times New Roman" w:hAnsi="Times New Roman" w:cs="Times New Roman"/>
          <w:sz w:val="24"/>
          <w:szCs w:val="24"/>
        </w:rPr>
        <w:t>Zwingend ist die Annahme, dass es</w:t>
      </w:r>
      <w:r w:rsidR="00412508">
        <w:rPr>
          <w:rFonts w:ascii="Times New Roman" w:hAnsi="Times New Roman" w:cs="Times New Roman"/>
          <w:sz w:val="24"/>
          <w:szCs w:val="24"/>
        </w:rPr>
        <w:t xml:space="preserve"> </w:t>
      </w:r>
      <w:r w:rsidR="00BD118A">
        <w:rPr>
          <w:rFonts w:ascii="Times New Roman" w:hAnsi="Times New Roman" w:cs="Times New Roman"/>
          <w:sz w:val="24"/>
          <w:szCs w:val="24"/>
        </w:rPr>
        <w:t xml:space="preserve">– offenbar aus Gründen der Übersichtlichkeit – </w:t>
      </w:r>
      <w:r w:rsidR="00412508">
        <w:rPr>
          <w:rFonts w:ascii="Times New Roman" w:hAnsi="Times New Roman" w:cs="Times New Roman"/>
          <w:sz w:val="24"/>
          <w:szCs w:val="24"/>
        </w:rPr>
        <w:t>eine gesetzliche Vorgabe gibt</w:t>
      </w:r>
      <w:r w:rsidR="00797B8E">
        <w:rPr>
          <w:rFonts w:ascii="Times New Roman" w:hAnsi="Times New Roman" w:cs="Times New Roman"/>
          <w:sz w:val="24"/>
          <w:szCs w:val="24"/>
        </w:rPr>
        <w:t xml:space="preserve">, </w:t>
      </w:r>
      <w:r w:rsidR="00BD118A">
        <w:rPr>
          <w:rFonts w:ascii="Times New Roman" w:hAnsi="Times New Roman" w:cs="Times New Roman"/>
          <w:sz w:val="24"/>
          <w:szCs w:val="24"/>
        </w:rPr>
        <w:t xml:space="preserve">„sämtliche Schritte des Verfahrens“ in der Satzung </w:t>
      </w:r>
      <w:r w:rsidR="00412508">
        <w:rPr>
          <w:rFonts w:ascii="Times New Roman" w:hAnsi="Times New Roman" w:cs="Times New Roman"/>
          <w:sz w:val="24"/>
          <w:szCs w:val="24"/>
        </w:rPr>
        <w:t>zu beschreiben</w:t>
      </w:r>
      <w:r w:rsidR="00DE2D3F">
        <w:rPr>
          <w:rStyle w:val="Funotenzeichen"/>
          <w:rFonts w:ascii="Times New Roman" w:hAnsi="Times New Roman" w:cs="Times New Roman"/>
          <w:sz w:val="24"/>
          <w:szCs w:val="24"/>
        </w:rPr>
        <w:footnoteReference w:id="90"/>
      </w:r>
      <w:r w:rsidR="00412508">
        <w:rPr>
          <w:rFonts w:ascii="Times New Roman" w:hAnsi="Times New Roman" w:cs="Times New Roman"/>
          <w:sz w:val="24"/>
          <w:szCs w:val="24"/>
        </w:rPr>
        <w:t xml:space="preserve">, </w:t>
      </w:r>
      <w:r w:rsidR="006A6E4C">
        <w:rPr>
          <w:rFonts w:ascii="Times New Roman" w:hAnsi="Times New Roman" w:cs="Times New Roman"/>
          <w:sz w:val="24"/>
          <w:szCs w:val="24"/>
        </w:rPr>
        <w:t>allerdings nicht</w:t>
      </w:r>
      <w:r w:rsidR="00412508">
        <w:rPr>
          <w:rFonts w:ascii="Times New Roman" w:hAnsi="Times New Roman" w:cs="Times New Roman"/>
          <w:sz w:val="24"/>
          <w:szCs w:val="24"/>
        </w:rPr>
        <w:t xml:space="preserve">. </w:t>
      </w:r>
      <w:r w:rsidR="00C73E6A">
        <w:rPr>
          <w:rFonts w:ascii="Times New Roman" w:hAnsi="Times New Roman" w:cs="Times New Roman"/>
          <w:sz w:val="24"/>
          <w:szCs w:val="24"/>
        </w:rPr>
        <w:t>Zumindest</w:t>
      </w:r>
      <w:r w:rsidR="004251B0">
        <w:rPr>
          <w:rFonts w:ascii="Times New Roman" w:hAnsi="Times New Roman" w:cs="Times New Roman"/>
          <w:sz w:val="24"/>
          <w:szCs w:val="24"/>
        </w:rPr>
        <w:t xml:space="preserve"> würde diese Deutung </w:t>
      </w:r>
      <w:r w:rsidR="00C73E6A">
        <w:rPr>
          <w:rFonts w:ascii="Times New Roman" w:hAnsi="Times New Roman" w:cs="Times New Roman"/>
          <w:sz w:val="24"/>
          <w:szCs w:val="24"/>
        </w:rPr>
        <w:t xml:space="preserve">aber </w:t>
      </w:r>
      <w:r w:rsidR="004251B0">
        <w:rPr>
          <w:rFonts w:ascii="Times New Roman" w:hAnsi="Times New Roman" w:cs="Times New Roman"/>
          <w:sz w:val="24"/>
          <w:szCs w:val="24"/>
        </w:rPr>
        <w:t>vermeiden, dass sich § 99 Abs</w:t>
      </w:r>
      <w:r w:rsidR="00C73E6A">
        <w:rPr>
          <w:rFonts w:ascii="Times New Roman" w:hAnsi="Times New Roman" w:cs="Times New Roman"/>
          <w:sz w:val="24"/>
          <w:szCs w:val="24"/>
        </w:rPr>
        <w:t xml:space="preserve"> </w:t>
      </w:r>
      <w:r w:rsidR="004251B0">
        <w:rPr>
          <w:rFonts w:ascii="Times New Roman" w:hAnsi="Times New Roman" w:cs="Times New Roman"/>
          <w:sz w:val="24"/>
          <w:szCs w:val="24"/>
        </w:rPr>
        <w:t xml:space="preserve">4 letzter Satz UG </w:t>
      </w:r>
      <w:r w:rsidR="0036025E">
        <w:rPr>
          <w:rFonts w:ascii="Times New Roman" w:hAnsi="Times New Roman" w:cs="Times New Roman"/>
          <w:sz w:val="24"/>
          <w:szCs w:val="24"/>
        </w:rPr>
        <w:t xml:space="preserve">als </w:t>
      </w:r>
      <w:r w:rsidR="004251B0">
        <w:rPr>
          <w:rFonts w:ascii="Times New Roman" w:hAnsi="Times New Roman" w:cs="Times New Roman"/>
          <w:sz w:val="24"/>
          <w:szCs w:val="24"/>
        </w:rPr>
        <w:t xml:space="preserve">völlig überflüssig erweist. </w:t>
      </w:r>
      <w:r w:rsidR="00BD118A">
        <w:rPr>
          <w:rFonts w:ascii="Times New Roman" w:hAnsi="Times New Roman" w:cs="Times New Roman"/>
          <w:sz w:val="24"/>
          <w:szCs w:val="24"/>
        </w:rPr>
        <w:t xml:space="preserve">Wenn </w:t>
      </w:r>
      <w:r w:rsidR="00C73E6A">
        <w:rPr>
          <w:rFonts w:ascii="Times New Roman" w:hAnsi="Times New Roman" w:cs="Times New Roman"/>
          <w:sz w:val="24"/>
          <w:szCs w:val="24"/>
        </w:rPr>
        <w:t xml:space="preserve">aber </w:t>
      </w:r>
      <w:r w:rsidR="00BD118A">
        <w:rPr>
          <w:rFonts w:ascii="Times New Roman" w:hAnsi="Times New Roman" w:cs="Times New Roman"/>
          <w:sz w:val="24"/>
          <w:szCs w:val="24"/>
        </w:rPr>
        <w:t xml:space="preserve">Verfahrensschritte in </w:t>
      </w:r>
      <w:r w:rsidR="004251B0">
        <w:rPr>
          <w:rFonts w:ascii="Times New Roman" w:hAnsi="Times New Roman" w:cs="Times New Roman"/>
          <w:sz w:val="24"/>
          <w:szCs w:val="24"/>
        </w:rPr>
        <w:t>die</w:t>
      </w:r>
      <w:r w:rsidR="00BD118A">
        <w:rPr>
          <w:rFonts w:ascii="Times New Roman" w:hAnsi="Times New Roman" w:cs="Times New Roman"/>
          <w:sz w:val="24"/>
          <w:szCs w:val="24"/>
        </w:rPr>
        <w:t xml:space="preserve"> Satzung </w:t>
      </w:r>
      <w:r w:rsidR="004251B0">
        <w:rPr>
          <w:rFonts w:ascii="Times New Roman" w:hAnsi="Times New Roman" w:cs="Times New Roman"/>
          <w:sz w:val="24"/>
          <w:szCs w:val="24"/>
        </w:rPr>
        <w:t xml:space="preserve">– bloß </w:t>
      </w:r>
      <w:r w:rsidR="00BD118A">
        <w:rPr>
          <w:rFonts w:ascii="Times New Roman" w:hAnsi="Times New Roman" w:cs="Times New Roman"/>
          <w:sz w:val="24"/>
          <w:szCs w:val="24"/>
        </w:rPr>
        <w:t xml:space="preserve">wiederholend </w:t>
      </w:r>
      <w:r w:rsidR="004251B0">
        <w:rPr>
          <w:rFonts w:ascii="Times New Roman" w:hAnsi="Times New Roman" w:cs="Times New Roman"/>
          <w:sz w:val="24"/>
          <w:szCs w:val="24"/>
        </w:rPr>
        <w:t xml:space="preserve">– </w:t>
      </w:r>
      <w:r w:rsidR="00BD118A">
        <w:rPr>
          <w:rFonts w:ascii="Times New Roman" w:hAnsi="Times New Roman" w:cs="Times New Roman"/>
          <w:sz w:val="24"/>
          <w:szCs w:val="24"/>
        </w:rPr>
        <w:t>„</w:t>
      </w:r>
      <w:r w:rsidR="004251B0">
        <w:rPr>
          <w:rFonts w:ascii="Times New Roman" w:hAnsi="Times New Roman" w:cs="Times New Roman"/>
          <w:sz w:val="24"/>
          <w:szCs w:val="24"/>
        </w:rPr>
        <w:t>aufzunehmen</w:t>
      </w:r>
      <w:r w:rsidR="00BD118A">
        <w:rPr>
          <w:rFonts w:ascii="Times New Roman" w:hAnsi="Times New Roman" w:cs="Times New Roman"/>
          <w:sz w:val="24"/>
          <w:szCs w:val="24"/>
        </w:rPr>
        <w:t>“</w:t>
      </w:r>
      <w:r w:rsidR="004251B0">
        <w:rPr>
          <w:rFonts w:ascii="Times New Roman" w:hAnsi="Times New Roman" w:cs="Times New Roman"/>
          <w:sz w:val="24"/>
          <w:szCs w:val="24"/>
        </w:rPr>
        <w:t xml:space="preserve"> sind</w:t>
      </w:r>
      <w:r w:rsidR="00BD118A">
        <w:rPr>
          <w:rFonts w:ascii="Times New Roman" w:hAnsi="Times New Roman" w:cs="Times New Roman"/>
          <w:sz w:val="24"/>
          <w:szCs w:val="24"/>
        </w:rPr>
        <w:t xml:space="preserve">, die von einem anderen Normsetzer – im konkreten Beispiel dem Rektorat – inhaltlich zu regeln sind, ist ein dynamischer Verweis auf die Regelung des anderen Normsetzers nicht nur </w:t>
      </w:r>
      <w:r w:rsidR="00CD4999">
        <w:rPr>
          <w:rFonts w:ascii="Times New Roman" w:hAnsi="Times New Roman" w:cs="Times New Roman"/>
          <w:sz w:val="24"/>
          <w:szCs w:val="24"/>
        </w:rPr>
        <w:t xml:space="preserve">bloß </w:t>
      </w:r>
      <w:r w:rsidR="00BD118A">
        <w:rPr>
          <w:rFonts w:ascii="Times New Roman" w:hAnsi="Times New Roman" w:cs="Times New Roman"/>
          <w:sz w:val="24"/>
          <w:szCs w:val="24"/>
        </w:rPr>
        <w:t xml:space="preserve">zulässig, sondern sogar naheliegend. Denn </w:t>
      </w:r>
      <w:r w:rsidR="00CD4999">
        <w:rPr>
          <w:rFonts w:ascii="Times New Roman" w:hAnsi="Times New Roman" w:cs="Times New Roman"/>
          <w:sz w:val="24"/>
          <w:szCs w:val="24"/>
        </w:rPr>
        <w:t>bei einem</w:t>
      </w:r>
      <w:r w:rsidR="00BD118A">
        <w:rPr>
          <w:rFonts w:ascii="Times New Roman" w:hAnsi="Times New Roman" w:cs="Times New Roman"/>
          <w:sz w:val="24"/>
          <w:szCs w:val="24"/>
        </w:rPr>
        <w:t xml:space="preserve"> statischen Verweis auf </w:t>
      </w:r>
      <w:r w:rsidR="00CD4999">
        <w:rPr>
          <w:rFonts w:ascii="Times New Roman" w:hAnsi="Times New Roman" w:cs="Times New Roman"/>
          <w:sz w:val="24"/>
          <w:szCs w:val="24"/>
        </w:rPr>
        <w:t>eine</w:t>
      </w:r>
      <w:r w:rsidR="00BD118A">
        <w:rPr>
          <w:rFonts w:ascii="Times New Roman" w:hAnsi="Times New Roman" w:cs="Times New Roman"/>
          <w:sz w:val="24"/>
          <w:szCs w:val="24"/>
        </w:rPr>
        <w:t xml:space="preserve"> Richtlinie des Rektorats würde im Falle einer Änderung dieser Richtlinie die statisch verweisende Satzungsbestimmung Gefahr laufen, der </w:t>
      </w:r>
      <w:r w:rsidR="00797B8E">
        <w:rPr>
          <w:rFonts w:ascii="Times New Roman" w:hAnsi="Times New Roman" w:cs="Times New Roman"/>
          <w:sz w:val="24"/>
          <w:szCs w:val="24"/>
        </w:rPr>
        <w:t xml:space="preserve">geänderten </w:t>
      </w:r>
      <w:r w:rsidR="00BD118A">
        <w:rPr>
          <w:rFonts w:ascii="Times New Roman" w:hAnsi="Times New Roman" w:cs="Times New Roman"/>
          <w:sz w:val="24"/>
          <w:szCs w:val="24"/>
        </w:rPr>
        <w:t>Rektoratsrichtlinie zu widersprechen</w:t>
      </w:r>
      <w:r w:rsidR="004251B0">
        <w:rPr>
          <w:rFonts w:ascii="Times New Roman" w:hAnsi="Times New Roman" w:cs="Times New Roman"/>
          <w:sz w:val="24"/>
          <w:szCs w:val="24"/>
        </w:rPr>
        <w:t xml:space="preserve">. Es bedürfte dann weiterer Überlegungen, ob ein möglicher Widerspruch der beiden Verordnungen dadurch aufzulösen ist, indem </w:t>
      </w:r>
      <w:r w:rsidR="00DE2D3F">
        <w:rPr>
          <w:rFonts w:ascii="Times New Roman" w:hAnsi="Times New Roman" w:cs="Times New Roman"/>
          <w:sz w:val="24"/>
          <w:szCs w:val="24"/>
        </w:rPr>
        <w:t xml:space="preserve">entweder </w:t>
      </w:r>
      <w:r w:rsidR="004251B0">
        <w:rPr>
          <w:rFonts w:ascii="Times New Roman" w:hAnsi="Times New Roman" w:cs="Times New Roman"/>
          <w:sz w:val="24"/>
          <w:szCs w:val="24"/>
        </w:rPr>
        <w:t>die geänderte Rektoratsrichtlinie der Satzungsbestimmung derogiert</w:t>
      </w:r>
      <w:r w:rsidR="00DE2D3F">
        <w:rPr>
          <w:rFonts w:ascii="Times New Roman" w:hAnsi="Times New Roman" w:cs="Times New Roman"/>
          <w:sz w:val="24"/>
          <w:szCs w:val="24"/>
        </w:rPr>
        <w:t>, oder die Satzungsbestimmung nur vorübergehend – für die Dauer der Geltung</w:t>
      </w:r>
      <w:r w:rsidR="004251B0">
        <w:rPr>
          <w:rFonts w:ascii="Times New Roman" w:hAnsi="Times New Roman" w:cs="Times New Roman"/>
          <w:sz w:val="24"/>
          <w:szCs w:val="24"/>
        </w:rPr>
        <w:t xml:space="preserve"> </w:t>
      </w:r>
      <w:r w:rsidR="00DE2D3F">
        <w:rPr>
          <w:rFonts w:ascii="Times New Roman" w:hAnsi="Times New Roman" w:cs="Times New Roman"/>
          <w:sz w:val="24"/>
          <w:szCs w:val="24"/>
        </w:rPr>
        <w:t xml:space="preserve">der geänderten Rektoratsrichtlinie – nicht anzuwenden ist, </w:t>
      </w:r>
      <w:r w:rsidR="004251B0">
        <w:rPr>
          <w:rFonts w:ascii="Times New Roman" w:hAnsi="Times New Roman" w:cs="Times New Roman"/>
          <w:sz w:val="24"/>
          <w:szCs w:val="24"/>
        </w:rPr>
        <w:t xml:space="preserve">oder </w:t>
      </w:r>
      <w:r w:rsidR="00DE2D3F">
        <w:rPr>
          <w:rFonts w:ascii="Times New Roman" w:hAnsi="Times New Roman" w:cs="Times New Roman"/>
          <w:sz w:val="24"/>
          <w:szCs w:val="24"/>
        </w:rPr>
        <w:t xml:space="preserve">aber </w:t>
      </w:r>
      <w:r w:rsidR="004251B0">
        <w:rPr>
          <w:rFonts w:ascii="Times New Roman" w:hAnsi="Times New Roman" w:cs="Times New Roman"/>
          <w:sz w:val="24"/>
          <w:szCs w:val="24"/>
        </w:rPr>
        <w:t xml:space="preserve">die Satzungsbestimmung </w:t>
      </w:r>
      <w:r w:rsidR="00DE2D3F">
        <w:rPr>
          <w:rFonts w:ascii="Times New Roman" w:hAnsi="Times New Roman" w:cs="Times New Roman"/>
          <w:sz w:val="24"/>
          <w:szCs w:val="24"/>
        </w:rPr>
        <w:t xml:space="preserve">bloß </w:t>
      </w:r>
      <w:r w:rsidR="004251B0">
        <w:rPr>
          <w:rFonts w:ascii="Times New Roman" w:hAnsi="Times New Roman" w:cs="Times New Roman"/>
          <w:sz w:val="24"/>
          <w:szCs w:val="24"/>
        </w:rPr>
        <w:t>invalidiert</w:t>
      </w:r>
      <w:r w:rsidR="00DE2D3F">
        <w:rPr>
          <w:rStyle w:val="Funotenzeichen"/>
          <w:rFonts w:ascii="Times New Roman" w:hAnsi="Times New Roman" w:cs="Times New Roman"/>
          <w:sz w:val="24"/>
          <w:szCs w:val="24"/>
        </w:rPr>
        <w:footnoteReference w:id="91"/>
      </w:r>
      <w:r w:rsidR="004251B0">
        <w:rPr>
          <w:rFonts w:ascii="Times New Roman" w:hAnsi="Times New Roman" w:cs="Times New Roman"/>
          <w:sz w:val="24"/>
          <w:szCs w:val="24"/>
        </w:rPr>
        <w:t xml:space="preserve">. </w:t>
      </w:r>
      <w:r w:rsidR="00CD4999">
        <w:rPr>
          <w:rFonts w:ascii="Times New Roman" w:hAnsi="Times New Roman" w:cs="Times New Roman"/>
          <w:sz w:val="24"/>
          <w:szCs w:val="24"/>
        </w:rPr>
        <w:t xml:space="preserve">Nur eine dynamische Ausgestaltung des Verweises </w:t>
      </w:r>
      <w:r w:rsidR="004251B0">
        <w:rPr>
          <w:rFonts w:ascii="Times New Roman" w:hAnsi="Times New Roman" w:cs="Times New Roman"/>
          <w:sz w:val="24"/>
          <w:szCs w:val="24"/>
        </w:rPr>
        <w:t xml:space="preserve">der Satzung auf die Rektoratsrichtlinie </w:t>
      </w:r>
      <w:r w:rsidR="00CD4999">
        <w:rPr>
          <w:rFonts w:ascii="Times New Roman" w:hAnsi="Times New Roman" w:cs="Times New Roman"/>
          <w:sz w:val="24"/>
          <w:szCs w:val="24"/>
        </w:rPr>
        <w:t xml:space="preserve">verhindert </w:t>
      </w:r>
      <w:r w:rsidR="004251B0">
        <w:rPr>
          <w:rFonts w:ascii="Times New Roman" w:hAnsi="Times New Roman" w:cs="Times New Roman"/>
          <w:sz w:val="24"/>
          <w:szCs w:val="24"/>
        </w:rPr>
        <w:t xml:space="preserve">jedenfalls </w:t>
      </w:r>
      <w:r w:rsidR="00C73E6A">
        <w:rPr>
          <w:rFonts w:ascii="Times New Roman" w:hAnsi="Times New Roman" w:cs="Times New Roman"/>
          <w:sz w:val="24"/>
          <w:szCs w:val="24"/>
        </w:rPr>
        <w:t>in solchen Fällen einen</w:t>
      </w:r>
      <w:r w:rsidR="004251B0">
        <w:rPr>
          <w:rFonts w:ascii="Times New Roman" w:hAnsi="Times New Roman" w:cs="Times New Roman"/>
          <w:sz w:val="24"/>
          <w:szCs w:val="24"/>
        </w:rPr>
        <w:t xml:space="preserve"> möglichen Norm</w:t>
      </w:r>
      <w:r w:rsidR="00FE26F2">
        <w:rPr>
          <w:rFonts w:ascii="Times New Roman" w:hAnsi="Times New Roman" w:cs="Times New Roman"/>
          <w:sz w:val="24"/>
          <w:szCs w:val="24"/>
        </w:rPr>
        <w:t>en</w:t>
      </w:r>
      <w:r w:rsidR="004251B0">
        <w:rPr>
          <w:rFonts w:ascii="Times New Roman" w:hAnsi="Times New Roman" w:cs="Times New Roman"/>
          <w:sz w:val="24"/>
          <w:szCs w:val="24"/>
        </w:rPr>
        <w:t>konflikt von vorneherein</w:t>
      </w:r>
      <w:r w:rsidR="00CD4999">
        <w:rPr>
          <w:rFonts w:ascii="Times New Roman" w:hAnsi="Times New Roman" w:cs="Times New Roman"/>
          <w:sz w:val="24"/>
          <w:szCs w:val="24"/>
        </w:rPr>
        <w:t>.</w:t>
      </w:r>
      <w:r w:rsidR="00BD118A">
        <w:rPr>
          <w:rFonts w:ascii="Times New Roman" w:hAnsi="Times New Roman" w:cs="Times New Roman"/>
          <w:sz w:val="24"/>
          <w:szCs w:val="24"/>
        </w:rPr>
        <w:t xml:space="preserve"> </w:t>
      </w:r>
      <w:r w:rsidR="00064844">
        <w:rPr>
          <w:rFonts w:ascii="Times New Roman" w:hAnsi="Times New Roman" w:cs="Times New Roman"/>
          <w:sz w:val="24"/>
          <w:szCs w:val="24"/>
        </w:rPr>
        <w:t>Selbst wenn</w:t>
      </w:r>
      <w:r w:rsidR="006A6E4C">
        <w:rPr>
          <w:rFonts w:ascii="Times New Roman" w:hAnsi="Times New Roman" w:cs="Times New Roman"/>
          <w:sz w:val="24"/>
          <w:szCs w:val="24"/>
        </w:rPr>
        <w:t xml:space="preserve"> man die vom VfGH entwickelten Maßstäbe an</w:t>
      </w:r>
      <w:r w:rsidR="00064844">
        <w:rPr>
          <w:rFonts w:ascii="Times New Roman" w:hAnsi="Times New Roman" w:cs="Times New Roman"/>
          <w:sz w:val="24"/>
          <w:szCs w:val="24"/>
        </w:rPr>
        <w:t>legt</w:t>
      </w:r>
      <w:r w:rsidR="006A6E4C">
        <w:rPr>
          <w:rFonts w:ascii="Times New Roman" w:hAnsi="Times New Roman" w:cs="Times New Roman"/>
          <w:sz w:val="24"/>
          <w:szCs w:val="24"/>
        </w:rPr>
        <w:t>,</w:t>
      </w:r>
      <w:r w:rsidR="00FE26F2">
        <w:rPr>
          <w:rFonts w:ascii="Times New Roman" w:hAnsi="Times New Roman" w:cs="Times New Roman"/>
          <w:sz w:val="24"/>
          <w:szCs w:val="24"/>
        </w:rPr>
        <w:t xml:space="preserve"> ist der dynamische Charakter </w:t>
      </w:r>
      <w:r w:rsidR="007527FA">
        <w:rPr>
          <w:rFonts w:ascii="Times New Roman" w:hAnsi="Times New Roman" w:cs="Times New Roman"/>
          <w:sz w:val="24"/>
          <w:szCs w:val="24"/>
        </w:rPr>
        <w:t>einer derartigen</w:t>
      </w:r>
      <w:r w:rsidR="00FE26F2">
        <w:rPr>
          <w:rFonts w:ascii="Times New Roman" w:hAnsi="Times New Roman" w:cs="Times New Roman"/>
          <w:sz w:val="24"/>
          <w:szCs w:val="24"/>
        </w:rPr>
        <w:t xml:space="preserve"> Verweisung </w:t>
      </w:r>
      <w:r w:rsidR="00064844">
        <w:rPr>
          <w:rFonts w:ascii="Times New Roman" w:hAnsi="Times New Roman" w:cs="Times New Roman"/>
          <w:sz w:val="24"/>
          <w:szCs w:val="24"/>
        </w:rPr>
        <w:t xml:space="preserve">letztlich </w:t>
      </w:r>
      <w:r w:rsidR="00FE26F2">
        <w:rPr>
          <w:rFonts w:ascii="Times New Roman" w:hAnsi="Times New Roman" w:cs="Times New Roman"/>
          <w:sz w:val="24"/>
          <w:szCs w:val="24"/>
        </w:rPr>
        <w:t>unbedenklich: Denn – wie der VfGH in VfSlg 17479/2005 deutlich gemacht hat – ist die Rechtsprechung des VfGH zur Unzulässigkeit dynamischer Verweisungen</w:t>
      </w:r>
      <w:r w:rsidR="00FE26F2" w:rsidRPr="00FE26F2">
        <w:rPr>
          <w:rFonts w:ascii="Times New Roman" w:hAnsi="Times New Roman" w:cs="Times New Roman"/>
          <w:sz w:val="24"/>
          <w:szCs w:val="24"/>
        </w:rPr>
        <w:t xml:space="preserve"> </w:t>
      </w:r>
      <w:r w:rsidR="00FE26F2">
        <w:rPr>
          <w:rFonts w:ascii="Times New Roman" w:hAnsi="Times New Roman" w:cs="Times New Roman"/>
          <w:sz w:val="24"/>
          <w:szCs w:val="24"/>
        </w:rPr>
        <w:t>„</w:t>
      </w:r>
      <w:r w:rsidR="00FE26F2" w:rsidRPr="00FE26F2">
        <w:rPr>
          <w:rFonts w:ascii="Times New Roman" w:hAnsi="Times New Roman" w:cs="Times New Roman"/>
          <w:sz w:val="24"/>
          <w:szCs w:val="24"/>
        </w:rPr>
        <w:t xml:space="preserve">insbesondere von der Überlegung der Exklusivität der Kompetenzordnung und dem </w:t>
      </w:r>
      <w:r w:rsidR="00FE26F2">
        <w:rPr>
          <w:rFonts w:ascii="Times New Roman" w:hAnsi="Times New Roman" w:cs="Times New Roman"/>
          <w:sz w:val="24"/>
          <w:szCs w:val="24"/>
        </w:rPr>
        <w:t>–</w:t>
      </w:r>
      <w:r w:rsidR="00FE26F2" w:rsidRPr="00FE26F2">
        <w:rPr>
          <w:rFonts w:ascii="Times New Roman" w:hAnsi="Times New Roman" w:cs="Times New Roman"/>
          <w:sz w:val="24"/>
          <w:szCs w:val="24"/>
        </w:rPr>
        <w:t xml:space="preserve"> grundsätzlichen</w:t>
      </w:r>
      <w:r w:rsidR="00FE26F2">
        <w:rPr>
          <w:rFonts w:ascii="Times New Roman" w:hAnsi="Times New Roman" w:cs="Times New Roman"/>
          <w:sz w:val="24"/>
          <w:szCs w:val="24"/>
        </w:rPr>
        <w:t xml:space="preserve"> –</w:t>
      </w:r>
      <w:r w:rsidR="00FE26F2" w:rsidRPr="00FE26F2">
        <w:rPr>
          <w:rFonts w:ascii="Times New Roman" w:hAnsi="Times New Roman" w:cs="Times New Roman"/>
          <w:sz w:val="24"/>
          <w:szCs w:val="24"/>
        </w:rPr>
        <w:t xml:space="preserve"> Fehlen</w:t>
      </w:r>
      <w:r w:rsidR="00FE26F2">
        <w:rPr>
          <w:rFonts w:ascii="Times New Roman" w:hAnsi="Times New Roman" w:cs="Times New Roman"/>
          <w:sz w:val="24"/>
          <w:szCs w:val="24"/>
        </w:rPr>
        <w:t xml:space="preserve"> </w:t>
      </w:r>
      <w:r w:rsidR="00FE26F2" w:rsidRPr="00FE26F2">
        <w:rPr>
          <w:rFonts w:ascii="Times New Roman" w:hAnsi="Times New Roman" w:cs="Times New Roman"/>
          <w:sz w:val="24"/>
          <w:szCs w:val="24"/>
        </w:rPr>
        <w:t>konkurrierender Zuständigkeiten geleitet</w:t>
      </w:r>
      <w:r w:rsidR="00FE26F2">
        <w:rPr>
          <w:rFonts w:ascii="Times New Roman" w:hAnsi="Times New Roman" w:cs="Times New Roman"/>
          <w:sz w:val="24"/>
          <w:szCs w:val="24"/>
        </w:rPr>
        <w:t xml:space="preserve">“. Wenn aber dieselben Regelungen in einer Richtlinie des Rektorats </w:t>
      </w:r>
      <w:r w:rsidR="00304C5D">
        <w:rPr>
          <w:rFonts w:ascii="Times New Roman" w:hAnsi="Times New Roman" w:cs="Times New Roman"/>
          <w:sz w:val="24"/>
          <w:szCs w:val="24"/>
        </w:rPr>
        <w:t xml:space="preserve">und – wenn auch bloß wiederholend – in der Satzung </w:t>
      </w:r>
      <w:r w:rsidR="00FE26F2">
        <w:rPr>
          <w:rFonts w:ascii="Times New Roman" w:hAnsi="Times New Roman" w:cs="Times New Roman"/>
          <w:sz w:val="24"/>
          <w:szCs w:val="24"/>
        </w:rPr>
        <w:t xml:space="preserve">enthalten sein </w:t>
      </w:r>
      <w:r w:rsidR="007527FA">
        <w:rPr>
          <w:rFonts w:ascii="Times New Roman" w:hAnsi="Times New Roman" w:cs="Times New Roman"/>
          <w:sz w:val="24"/>
          <w:szCs w:val="24"/>
        </w:rPr>
        <w:t>dürfen</w:t>
      </w:r>
      <w:r w:rsidR="00FE26F2">
        <w:rPr>
          <w:rFonts w:ascii="Times New Roman" w:hAnsi="Times New Roman" w:cs="Times New Roman"/>
          <w:sz w:val="24"/>
          <w:szCs w:val="24"/>
        </w:rPr>
        <w:t xml:space="preserve">, bedeutet dies nichts anderes als dass – anders als </w:t>
      </w:r>
      <w:r w:rsidR="0065369C">
        <w:rPr>
          <w:rFonts w:ascii="Times New Roman" w:hAnsi="Times New Roman" w:cs="Times New Roman"/>
          <w:sz w:val="24"/>
          <w:szCs w:val="24"/>
        </w:rPr>
        <w:t xml:space="preserve">meist </w:t>
      </w:r>
      <w:r w:rsidR="00FE26F2">
        <w:rPr>
          <w:rFonts w:ascii="Times New Roman" w:hAnsi="Times New Roman" w:cs="Times New Roman"/>
          <w:sz w:val="24"/>
          <w:szCs w:val="24"/>
        </w:rPr>
        <w:t>im Verhältnis zwischen Bund und Ländern –</w:t>
      </w:r>
      <w:r w:rsidR="006A6E4C">
        <w:rPr>
          <w:rFonts w:ascii="Times New Roman" w:hAnsi="Times New Roman" w:cs="Times New Roman"/>
          <w:sz w:val="24"/>
          <w:szCs w:val="24"/>
        </w:rPr>
        <w:t xml:space="preserve"> </w:t>
      </w:r>
      <w:r w:rsidR="00FE26F2">
        <w:rPr>
          <w:rFonts w:ascii="Times New Roman" w:hAnsi="Times New Roman" w:cs="Times New Roman"/>
          <w:sz w:val="24"/>
          <w:szCs w:val="24"/>
        </w:rPr>
        <w:t>konkurrierende Zuständigkeiten</w:t>
      </w:r>
      <w:r w:rsidR="00E76427">
        <w:rPr>
          <w:rFonts w:ascii="Times New Roman" w:hAnsi="Times New Roman" w:cs="Times New Roman"/>
          <w:sz w:val="24"/>
          <w:szCs w:val="24"/>
        </w:rPr>
        <w:t xml:space="preserve"> bestehen können. Für Bedenken gegen die Zulässigkeit einer dynamischen Verweisung fehlt </w:t>
      </w:r>
      <w:r w:rsidR="0065369C">
        <w:rPr>
          <w:rFonts w:ascii="Times New Roman" w:hAnsi="Times New Roman" w:cs="Times New Roman"/>
          <w:sz w:val="24"/>
          <w:szCs w:val="24"/>
        </w:rPr>
        <w:t xml:space="preserve">damit </w:t>
      </w:r>
      <w:r w:rsidR="00E76427">
        <w:rPr>
          <w:rFonts w:ascii="Times New Roman" w:hAnsi="Times New Roman" w:cs="Times New Roman"/>
          <w:sz w:val="24"/>
          <w:szCs w:val="24"/>
        </w:rPr>
        <w:t>der Grund</w:t>
      </w:r>
      <w:r w:rsidR="000F45ED">
        <w:rPr>
          <w:rStyle w:val="Funotenzeichen"/>
          <w:rFonts w:ascii="Times New Roman" w:hAnsi="Times New Roman" w:cs="Times New Roman"/>
          <w:sz w:val="24"/>
          <w:szCs w:val="24"/>
        </w:rPr>
        <w:footnoteReference w:id="92"/>
      </w:r>
      <w:r w:rsidR="00E76427">
        <w:rPr>
          <w:rFonts w:ascii="Times New Roman" w:hAnsi="Times New Roman" w:cs="Times New Roman"/>
          <w:sz w:val="24"/>
          <w:szCs w:val="24"/>
        </w:rPr>
        <w:t>.</w:t>
      </w:r>
      <w:r w:rsidR="00FE26F2">
        <w:rPr>
          <w:rFonts w:ascii="Times New Roman" w:hAnsi="Times New Roman" w:cs="Times New Roman"/>
          <w:sz w:val="24"/>
          <w:szCs w:val="24"/>
        </w:rPr>
        <w:t xml:space="preserve">   </w:t>
      </w:r>
      <w:r w:rsidR="00FE26F2" w:rsidRPr="00FE26F2">
        <w:rPr>
          <w:rFonts w:ascii="Times New Roman" w:hAnsi="Times New Roman" w:cs="Times New Roman"/>
          <w:sz w:val="24"/>
          <w:szCs w:val="24"/>
        </w:rPr>
        <w:t xml:space="preserve"> </w:t>
      </w:r>
      <w:r w:rsidR="00FE26F2">
        <w:rPr>
          <w:rFonts w:ascii="Times New Roman" w:hAnsi="Times New Roman" w:cs="Times New Roman"/>
          <w:sz w:val="24"/>
          <w:szCs w:val="24"/>
        </w:rPr>
        <w:t xml:space="preserve"> </w:t>
      </w:r>
      <w:r w:rsidR="00BD118A">
        <w:rPr>
          <w:rFonts w:ascii="Times New Roman" w:hAnsi="Times New Roman" w:cs="Times New Roman"/>
          <w:sz w:val="24"/>
          <w:szCs w:val="24"/>
        </w:rPr>
        <w:t xml:space="preserve">  </w:t>
      </w:r>
      <w:r w:rsidR="009B32FD">
        <w:rPr>
          <w:rFonts w:ascii="Times New Roman" w:hAnsi="Times New Roman" w:cs="Times New Roman"/>
          <w:sz w:val="24"/>
          <w:szCs w:val="24"/>
        </w:rPr>
        <w:t xml:space="preserve"> </w:t>
      </w:r>
    </w:p>
    <w:p w14:paraId="2554BA6A" w14:textId="77777777" w:rsidR="000C1718" w:rsidRDefault="000C1718" w:rsidP="00CC0B09">
      <w:pPr>
        <w:spacing w:line="360" w:lineRule="auto"/>
        <w:ind w:left="360"/>
        <w:jc w:val="both"/>
        <w:rPr>
          <w:rFonts w:ascii="Times New Roman" w:hAnsi="Times New Roman" w:cs="Times New Roman"/>
          <w:sz w:val="24"/>
          <w:szCs w:val="24"/>
        </w:rPr>
      </w:pPr>
    </w:p>
    <w:p w14:paraId="2554BA6B" w14:textId="77777777" w:rsidR="000C1718" w:rsidRPr="007E0E6A" w:rsidRDefault="000C1718" w:rsidP="000C1718">
      <w:pPr>
        <w:pStyle w:val="Listenabsatz"/>
        <w:numPr>
          <w:ilvl w:val="0"/>
          <w:numId w:val="1"/>
        </w:numPr>
        <w:spacing w:line="360" w:lineRule="auto"/>
        <w:jc w:val="both"/>
        <w:rPr>
          <w:rFonts w:ascii="Times New Roman" w:hAnsi="Times New Roman" w:cs="Times New Roman"/>
          <w:b/>
          <w:sz w:val="24"/>
          <w:szCs w:val="24"/>
        </w:rPr>
      </w:pPr>
      <w:r w:rsidRPr="007E0E6A">
        <w:rPr>
          <w:rFonts w:ascii="Times New Roman" w:hAnsi="Times New Roman" w:cs="Times New Roman"/>
          <w:b/>
          <w:sz w:val="24"/>
          <w:szCs w:val="24"/>
        </w:rPr>
        <w:t>Zusammenfassende Würdigung</w:t>
      </w:r>
    </w:p>
    <w:p w14:paraId="2554BA79" w14:textId="48047F06" w:rsidR="00711DEE" w:rsidRDefault="000C1718" w:rsidP="00B872B1">
      <w:pPr>
        <w:spacing w:line="360" w:lineRule="auto"/>
        <w:jc w:val="both"/>
        <w:rPr>
          <w:rFonts w:ascii="Times New Roman" w:hAnsi="Times New Roman" w:cs="Times New Roman"/>
          <w:sz w:val="24"/>
          <w:szCs w:val="24"/>
        </w:rPr>
      </w:pPr>
      <w:r>
        <w:rPr>
          <w:rFonts w:ascii="Times New Roman" w:hAnsi="Times New Roman" w:cs="Times New Roman"/>
          <w:sz w:val="24"/>
          <w:szCs w:val="24"/>
        </w:rPr>
        <w:t>§ 99 Abs 4 UG spricht sowohl Entwicklungsplan als auch Satzung an. Die beiden Verordnungen haben aber für Zwecke des in dieser Vorschrift geregelten Berufungsverfahrens unterschiedliche Bedeutung: Unzweifelhaft bedarf es einer Festlegung der Anzahl der Stellen im Entwicklungsplan, die für Ausschreibungen nach § 99 Abs 4 UG in Betracht kommen. Ohne entsprechender Regelung im Entwicklungsplan dürfen Berufungsverfahren na</w:t>
      </w:r>
      <w:r w:rsidR="0038707C">
        <w:rPr>
          <w:rFonts w:ascii="Times New Roman" w:hAnsi="Times New Roman" w:cs="Times New Roman"/>
          <w:sz w:val="24"/>
          <w:szCs w:val="24"/>
        </w:rPr>
        <w:t>c</w:t>
      </w:r>
      <w:r>
        <w:rPr>
          <w:rFonts w:ascii="Times New Roman" w:hAnsi="Times New Roman" w:cs="Times New Roman"/>
          <w:sz w:val="24"/>
          <w:szCs w:val="24"/>
        </w:rPr>
        <w:t xml:space="preserve">h dieser Vorschrift nicht durchgeführt werden. Hingegen bedarf es </w:t>
      </w:r>
      <w:r w:rsidR="007E0E6A">
        <w:rPr>
          <w:rFonts w:ascii="Times New Roman" w:hAnsi="Times New Roman" w:cs="Times New Roman"/>
          <w:sz w:val="24"/>
          <w:szCs w:val="24"/>
        </w:rPr>
        <w:t xml:space="preserve">dafür </w:t>
      </w:r>
      <w:r>
        <w:rPr>
          <w:rFonts w:ascii="Times New Roman" w:hAnsi="Times New Roman" w:cs="Times New Roman"/>
          <w:sz w:val="24"/>
          <w:szCs w:val="24"/>
        </w:rPr>
        <w:t>na</w:t>
      </w:r>
      <w:r w:rsidR="007E0E6A">
        <w:rPr>
          <w:rFonts w:ascii="Times New Roman" w:hAnsi="Times New Roman" w:cs="Times New Roman"/>
          <w:sz w:val="24"/>
          <w:szCs w:val="24"/>
        </w:rPr>
        <w:t>c</w:t>
      </w:r>
      <w:r>
        <w:rPr>
          <w:rFonts w:ascii="Times New Roman" w:hAnsi="Times New Roman" w:cs="Times New Roman"/>
          <w:sz w:val="24"/>
          <w:szCs w:val="24"/>
        </w:rPr>
        <w:t xml:space="preserve">h der hier vertretenen Auffassung </w:t>
      </w:r>
      <w:r w:rsidR="007E0E6A">
        <w:rPr>
          <w:rFonts w:ascii="Times New Roman" w:hAnsi="Times New Roman" w:cs="Times New Roman"/>
          <w:sz w:val="24"/>
          <w:szCs w:val="24"/>
        </w:rPr>
        <w:t>nicht unbedingt der Erlassung näherer Bestimmungen in der Satzung. Entschließt sich das Rektorat, für Zwecke des § 99 Abs 4 UG eine Satzungsänderung vorzuschlagen, und findet dieser Vorschlag die Zustimmung des Senats, sind solchen Satzungsregelungen Grenzen gesetzt. Die Zuständigkeiten anderer Organe – wie jene des Rektorats bei der Ausschreibung und der Rektorin oder des Rektors bei der Auswahlentscheidung – dürfen durch die Satzungsbestimmungen nicht beschränkt werden.</w:t>
      </w:r>
    </w:p>
    <w:p w14:paraId="39813632" w14:textId="698ED0FC" w:rsidR="00F83A31" w:rsidRDefault="00F83A31" w:rsidP="00B872B1">
      <w:pPr>
        <w:spacing w:line="360" w:lineRule="auto"/>
        <w:jc w:val="both"/>
        <w:rPr>
          <w:rFonts w:ascii="Times New Roman" w:hAnsi="Times New Roman" w:cs="Times New Roman"/>
          <w:sz w:val="24"/>
          <w:szCs w:val="24"/>
        </w:rPr>
      </w:pPr>
      <w:r w:rsidRPr="00B648E7">
        <w:rPr>
          <w:rFonts w:ascii="Times New Roman" w:hAnsi="Times New Roman" w:cs="Times New Roman"/>
          <w:b/>
          <w:sz w:val="24"/>
          <w:szCs w:val="24"/>
        </w:rPr>
        <w:t>Korrespondenz:</w:t>
      </w:r>
      <w:r>
        <w:rPr>
          <w:rFonts w:ascii="Times New Roman" w:hAnsi="Times New Roman" w:cs="Times New Roman"/>
          <w:sz w:val="24"/>
          <w:szCs w:val="24"/>
        </w:rPr>
        <w:t xml:space="preserve"> Univ.-Prof. Dr. DDr. h.c. Michael Lang, Vizerektor für Personal der WU und Vorstand des Instituts für Österreichisches und Internationales Steuerrecht an dieser Universität, Mag. Annette Lichtmannegger, Leiterin der Rechtsabteilung der WU, beide WU, Welthandelsplatz 1, 1020 Wien; E-Mail: </w:t>
      </w:r>
      <w:hyperlink r:id="rId11" w:history="1">
        <w:r w:rsidRPr="00FC311C">
          <w:rPr>
            <w:rStyle w:val="Hyperlink"/>
            <w:rFonts w:ascii="Times New Roman" w:hAnsi="Times New Roman" w:cs="Times New Roman"/>
            <w:sz w:val="24"/>
            <w:szCs w:val="24"/>
          </w:rPr>
          <w:t>michael.lang@wu.ac.at</w:t>
        </w:r>
      </w:hyperlink>
      <w:r>
        <w:rPr>
          <w:rFonts w:ascii="Times New Roman" w:hAnsi="Times New Roman" w:cs="Times New Roman"/>
          <w:sz w:val="24"/>
          <w:szCs w:val="24"/>
        </w:rPr>
        <w:t xml:space="preserve">; </w:t>
      </w:r>
      <w:hyperlink r:id="rId12" w:history="1">
        <w:r w:rsidRPr="00FC311C">
          <w:rPr>
            <w:rStyle w:val="Hyperlink"/>
            <w:rFonts w:ascii="Times New Roman" w:hAnsi="Times New Roman" w:cs="Times New Roman"/>
            <w:sz w:val="24"/>
            <w:szCs w:val="24"/>
          </w:rPr>
          <w:t>annette.lichtmannegger@wu.ac.at</w:t>
        </w:r>
      </w:hyperlink>
      <w:r>
        <w:rPr>
          <w:rFonts w:ascii="Times New Roman" w:hAnsi="Times New Roman" w:cs="Times New Roman"/>
          <w:sz w:val="24"/>
          <w:szCs w:val="24"/>
        </w:rPr>
        <w:t xml:space="preserve"> </w:t>
      </w:r>
    </w:p>
    <w:p w14:paraId="2D08F568" w14:textId="77777777" w:rsidR="00F83A31" w:rsidRPr="00D475AC" w:rsidRDefault="00F83A31" w:rsidP="00B872B1">
      <w:pPr>
        <w:spacing w:line="360" w:lineRule="auto"/>
        <w:jc w:val="both"/>
        <w:rPr>
          <w:lang w:val="de-DE"/>
        </w:rPr>
      </w:pPr>
    </w:p>
    <w:sectPr w:rsidR="00F83A31" w:rsidRPr="00D475AC">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31AAD" w14:textId="77777777" w:rsidR="00B914F3" w:rsidRDefault="00B914F3" w:rsidP="008C3FB1">
      <w:pPr>
        <w:spacing w:after="0" w:line="240" w:lineRule="auto"/>
      </w:pPr>
      <w:r>
        <w:separator/>
      </w:r>
    </w:p>
  </w:endnote>
  <w:endnote w:type="continuationSeparator" w:id="0">
    <w:p w14:paraId="1B1F4C92" w14:textId="77777777" w:rsidR="00B914F3" w:rsidRDefault="00B914F3" w:rsidP="008C3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webkit-standard">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509931"/>
      <w:docPartObj>
        <w:docPartGallery w:val="Page Numbers (Bottom of Page)"/>
        <w:docPartUnique/>
      </w:docPartObj>
    </w:sdtPr>
    <w:sdtEndPr/>
    <w:sdtContent>
      <w:p w14:paraId="3AE93AF3" w14:textId="016A40CF" w:rsidR="00DD49DC" w:rsidRDefault="00DD49DC">
        <w:pPr>
          <w:pStyle w:val="Fuzeile"/>
          <w:jc w:val="center"/>
        </w:pPr>
        <w:r>
          <w:fldChar w:fldCharType="begin"/>
        </w:r>
        <w:r>
          <w:instrText>PAGE   \* MERGEFORMAT</w:instrText>
        </w:r>
        <w:r>
          <w:fldChar w:fldCharType="separate"/>
        </w:r>
        <w:r w:rsidR="00305AE8" w:rsidRPr="00305AE8">
          <w:rPr>
            <w:noProof/>
            <w:lang w:val="de-DE"/>
          </w:rPr>
          <w:t>1</w:t>
        </w:r>
        <w:r>
          <w:fldChar w:fldCharType="end"/>
        </w:r>
      </w:p>
    </w:sdtContent>
  </w:sdt>
  <w:p w14:paraId="49E48D91" w14:textId="77777777" w:rsidR="00DD49DC" w:rsidRDefault="00DD49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9E689" w14:textId="77777777" w:rsidR="00B914F3" w:rsidRDefault="00B914F3" w:rsidP="008C3FB1">
      <w:pPr>
        <w:spacing w:after="0" w:line="240" w:lineRule="auto"/>
      </w:pPr>
      <w:r>
        <w:separator/>
      </w:r>
    </w:p>
  </w:footnote>
  <w:footnote w:type="continuationSeparator" w:id="0">
    <w:p w14:paraId="5CEF7A7B" w14:textId="77777777" w:rsidR="00B914F3" w:rsidRDefault="00B914F3" w:rsidP="008C3FB1">
      <w:pPr>
        <w:spacing w:after="0" w:line="240" w:lineRule="auto"/>
      </w:pPr>
      <w:r>
        <w:continuationSeparator/>
      </w:r>
    </w:p>
  </w:footnote>
  <w:footnote w:id="1">
    <w:p w14:paraId="47A6CED8" w14:textId="38A54BE1" w:rsidR="00DD49DC" w:rsidRDefault="00DD49DC">
      <w:pPr>
        <w:pStyle w:val="Funotentext"/>
      </w:pPr>
      <w:r w:rsidRPr="004047D6">
        <w:rPr>
          <w:rStyle w:val="Funotenzeichen"/>
        </w:rPr>
        <w:sym w:font="Symbol" w:char="F02A"/>
      </w:r>
      <w:r>
        <w:t xml:space="preserve"> Mag. Florian Navisotschnigg danken wir für die Unterstützung bei der Literaturrecherche. Das Manuskript haben wir am </w:t>
      </w:r>
      <w:r w:rsidR="00AE5555">
        <w:t xml:space="preserve">11. 2 </w:t>
      </w:r>
      <w:r>
        <w:t>.2017 abgeschlossen</w:t>
      </w:r>
      <w:r w:rsidR="00480612">
        <w:t xml:space="preserve">, auf den im selben Heft erscheinenden Zweitbeitrag von </w:t>
      </w:r>
      <w:r w:rsidR="00480612" w:rsidRPr="001C7F52">
        <w:rPr>
          <w:i/>
        </w:rPr>
        <w:t>Gamper</w:t>
      </w:r>
      <w:r w:rsidR="00480612">
        <w:t xml:space="preserve"> wird bei themat</w:t>
      </w:r>
      <w:r w:rsidR="00C97962">
        <w:t xml:space="preserve">ischen Überschneidungen </w:t>
      </w:r>
      <w:r w:rsidR="00480612">
        <w:t>verwiesen.</w:t>
      </w:r>
    </w:p>
  </w:footnote>
  <w:footnote w:id="2">
    <w:p w14:paraId="2554BA7E" w14:textId="54A333EB" w:rsidR="00DD49DC" w:rsidRPr="00621DC6" w:rsidRDefault="00DD49DC">
      <w:pPr>
        <w:pStyle w:val="Funotentext"/>
        <w:rPr>
          <w:lang w:val="de-DE"/>
        </w:rPr>
      </w:pPr>
      <w:r>
        <w:rPr>
          <w:rStyle w:val="Funotenzeichen"/>
        </w:rPr>
        <w:footnoteRef/>
      </w:r>
      <w:r>
        <w:t xml:space="preserve"> </w:t>
      </w:r>
      <w:r w:rsidRPr="00986685">
        <w:rPr>
          <w:i/>
          <w:lang w:val="de-DE"/>
        </w:rPr>
        <w:t>Lang/Lichtmannegger</w:t>
      </w:r>
      <w:r>
        <w:rPr>
          <w:lang w:val="de-DE"/>
        </w:rPr>
        <w:t xml:space="preserve">, Die organisationsrechtliche Umsetzung des „Tenure Track“-Modells im Universitätsgesetz, </w:t>
      </w:r>
      <w:r>
        <w:t>zfhr 2016, 35 (38)</w:t>
      </w:r>
      <w:r>
        <w:rPr>
          <w:lang w:val="de-DE"/>
        </w:rPr>
        <w:t xml:space="preserve">; zustimmend </w:t>
      </w:r>
      <w:r w:rsidRPr="00986685">
        <w:rPr>
          <w:i/>
          <w:lang w:val="de-DE"/>
        </w:rPr>
        <w:t>Perle</w:t>
      </w:r>
      <w:r>
        <w:rPr>
          <w:lang w:val="de-DE"/>
        </w:rPr>
        <w:t>, Die neuen personalrechtlichen Bestimmungen des UG – Eine Chance, die wahrgenommen werden will, zfhr 2016, 139 (145 f).</w:t>
      </w:r>
    </w:p>
  </w:footnote>
  <w:footnote w:id="3">
    <w:p w14:paraId="2554BA7F" w14:textId="1E310664" w:rsidR="00DD49DC" w:rsidRPr="00621DC6" w:rsidRDefault="00DD49DC">
      <w:pPr>
        <w:pStyle w:val="Funotentext"/>
      </w:pPr>
      <w:r>
        <w:rPr>
          <w:rStyle w:val="Funotenzeichen"/>
        </w:rPr>
        <w:footnoteRef/>
      </w:r>
      <w:r>
        <w:t xml:space="preserve"> </w:t>
      </w:r>
      <w:r w:rsidRPr="00986685">
        <w:rPr>
          <w:i/>
        </w:rPr>
        <w:t>Lang/Lichtmannegger</w:t>
      </w:r>
      <w:r>
        <w:t xml:space="preserve">, zfhr 2016, 38; ebenso </w:t>
      </w:r>
      <w:r w:rsidRPr="00986685">
        <w:rPr>
          <w:i/>
        </w:rPr>
        <w:t>Perle</w:t>
      </w:r>
      <w:r>
        <w:t>, zfhr 2016, 146.</w:t>
      </w:r>
    </w:p>
  </w:footnote>
  <w:footnote w:id="4">
    <w:p w14:paraId="1B213746" w14:textId="59CEF687" w:rsidR="00DD49DC" w:rsidRDefault="00DD49DC">
      <w:pPr>
        <w:pStyle w:val="Funotentext"/>
      </w:pPr>
      <w:r>
        <w:rPr>
          <w:rStyle w:val="Funotenzeichen"/>
        </w:rPr>
        <w:footnoteRef/>
      </w:r>
      <w:r>
        <w:t xml:space="preserve"> Siehe dazu </w:t>
      </w:r>
      <w:r w:rsidRPr="00986685">
        <w:rPr>
          <w:i/>
        </w:rPr>
        <w:t>Eisenberger/Lachmayer</w:t>
      </w:r>
      <w:r>
        <w:t>, Die Träger selbstverantwortlicher universitärer Forschung und Lehre, zfhr 2015, 146 (149 f).</w:t>
      </w:r>
    </w:p>
  </w:footnote>
  <w:footnote w:id="5">
    <w:p w14:paraId="2DEB8DB3" w14:textId="1D213941" w:rsidR="00DD49DC" w:rsidRPr="00986685" w:rsidRDefault="00DD49DC">
      <w:pPr>
        <w:pStyle w:val="Funotentext"/>
        <w:rPr>
          <w:lang w:val="de-DE"/>
        </w:rPr>
      </w:pPr>
      <w:r>
        <w:rPr>
          <w:rStyle w:val="Funotenzeichen"/>
        </w:rPr>
        <w:footnoteRef/>
      </w:r>
      <w:r>
        <w:t xml:space="preserve"> </w:t>
      </w:r>
      <w:r>
        <w:rPr>
          <w:lang w:val="de-DE"/>
        </w:rPr>
        <w:t xml:space="preserve">BMWFW 23. 5. 2016, </w:t>
      </w:r>
      <w:r w:rsidRPr="008C742F">
        <w:rPr>
          <w:lang w:val="de-DE"/>
        </w:rPr>
        <w:t xml:space="preserve">GZ 52.250/0082-WF/IV/6/2016, ergangen an </w:t>
      </w:r>
      <w:r>
        <w:rPr>
          <w:lang w:val="de-DE"/>
        </w:rPr>
        <w:t xml:space="preserve">den Dachverband der österreichischen Universitäten, nicht </w:t>
      </w:r>
      <w:r w:rsidRPr="008C742F">
        <w:rPr>
          <w:lang w:val="de-DE"/>
        </w:rPr>
        <w:t xml:space="preserve">veröffentlicht; </w:t>
      </w:r>
      <w:r w:rsidRPr="008C742F">
        <w:rPr>
          <w:i/>
          <w:lang w:val="de-DE"/>
        </w:rPr>
        <w:t>Perle</w:t>
      </w:r>
      <w:r w:rsidRPr="008C742F">
        <w:rPr>
          <w:lang w:val="de-DE"/>
        </w:rPr>
        <w:t>,</w:t>
      </w:r>
      <w:r w:rsidRPr="008C742F">
        <w:t xml:space="preserve"> zfhr 2016,</w:t>
      </w:r>
      <w:r w:rsidRPr="008C742F">
        <w:rPr>
          <w:lang w:val="de-DE"/>
        </w:rPr>
        <w:t xml:space="preserve"> 146.</w:t>
      </w:r>
    </w:p>
  </w:footnote>
  <w:footnote w:id="6">
    <w:p w14:paraId="030D997F" w14:textId="16FCAA7B" w:rsidR="00DD49DC" w:rsidRPr="00986685" w:rsidRDefault="00DD49DC">
      <w:pPr>
        <w:pStyle w:val="Funotentext"/>
        <w:rPr>
          <w:lang w:val="de-DE"/>
        </w:rPr>
      </w:pPr>
      <w:r>
        <w:rPr>
          <w:rStyle w:val="Funotenzeichen"/>
        </w:rPr>
        <w:footnoteRef/>
      </w:r>
      <w:r>
        <w:t xml:space="preserve"> </w:t>
      </w:r>
      <w:r>
        <w:rPr>
          <w:lang w:val="de-DE"/>
        </w:rPr>
        <w:t>BMWFW 23. 5. 201</w:t>
      </w:r>
      <w:r w:rsidRPr="006942BC">
        <w:rPr>
          <w:lang w:val="de-DE"/>
        </w:rPr>
        <w:t xml:space="preserve">6, GZ 52.250/0082-WF/IV/6/2016; so auch </w:t>
      </w:r>
      <w:r w:rsidRPr="006942BC">
        <w:rPr>
          <w:i/>
          <w:lang w:val="de-DE"/>
        </w:rPr>
        <w:t>Perle</w:t>
      </w:r>
      <w:r w:rsidRPr="006942BC">
        <w:rPr>
          <w:lang w:val="de-DE"/>
        </w:rPr>
        <w:t xml:space="preserve">, </w:t>
      </w:r>
      <w:r w:rsidRPr="006942BC">
        <w:t>zfhr 2016, 146.</w:t>
      </w:r>
    </w:p>
  </w:footnote>
  <w:footnote w:id="7">
    <w:p w14:paraId="4DB21B2A" w14:textId="501CC90B" w:rsidR="00DD49DC" w:rsidRPr="00D93CD4" w:rsidRDefault="00DD49DC">
      <w:pPr>
        <w:pStyle w:val="Funotentext"/>
      </w:pPr>
      <w:r>
        <w:rPr>
          <w:rStyle w:val="Funotenzeichen"/>
        </w:rPr>
        <w:footnoteRef/>
      </w:r>
      <w:r>
        <w:t xml:space="preserve"> So </w:t>
      </w:r>
      <w:r w:rsidRPr="00CB375C">
        <w:t>BMWFW 23. 5. 2016, GZ 52.250/0082-WF/IV/6/2016</w:t>
      </w:r>
    </w:p>
  </w:footnote>
  <w:footnote w:id="8">
    <w:p w14:paraId="36FDD196" w14:textId="0FB2D439" w:rsidR="00DD49DC" w:rsidRPr="007A5D37" w:rsidRDefault="00DD49DC">
      <w:pPr>
        <w:pStyle w:val="Funotentext"/>
      </w:pPr>
      <w:r>
        <w:rPr>
          <w:rStyle w:val="Funotenzeichen"/>
        </w:rPr>
        <w:footnoteRef/>
      </w:r>
      <w:r>
        <w:t xml:space="preserve"> Darauf weist auch </w:t>
      </w:r>
      <w:r w:rsidRPr="00986685">
        <w:rPr>
          <w:i/>
        </w:rPr>
        <w:t>Perle</w:t>
      </w:r>
      <w:r>
        <w:t>, zfhr 2016, 146 FN 45 zutreffend hin.</w:t>
      </w:r>
    </w:p>
  </w:footnote>
  <w:footnote w:id="9">
    <w:p w14:paraId="2554BA80" w14:textId="1555D448" w:rsidR="00DD49DC" w:rsidRPr="00BA1A5E" w:rsidRDefault="00DD49DC">
      <w:pPr>
        <w:pStyle w:val="Funotentext"/>
      </w:pPr>
      <w:r>
        <w:rPr>
          <w:rStyle w:val="Funotenzeichen"/>
        </w:rPr>
        <w:footnoteRef/>
      </w:r>
      <w:r w:rsidRPr="00BA1A5E">
        <w:t xml:space="preserve"> </w:t>
      </w:r>
      <w:r w:rsidRPr="00B873C2">
        <w:rPr>
          <w:i/>
          <w:iCs/>
        </w:rPr>
        <w:t>Kucsko-Stadlmayer</w:t>
      </w:r>
      <w:r w:rsidRPr="00B873C2">
        <w:t xml:space="preserve"> in </w:t>
      </w:r>
      <w:r w:rsidRPr="002B3381">
        <w:rPr>
          <w:i/>
          <w:iCs/>
        </w:rPr>
        <w:t>Perthold-Stoitzner</w:t>
      </w:r>
      <w:r w:rsidRPr="00893B97">
        <w:t>, UG</w:t>
      </w:r>
      <w:r w:rsidRPr="00A574A2">
        <w:rPr>
          <w:vertAlign w:val="superscript"/>
        </w:rPr>
        <w:t>3</w:t>
      </w:r>
      <w:r w:rsidRPr="00A574A2">
        <w:t xml:space="preserve"> § 122</w:t>
      </w:r>
      <w:r w:rsidRPr="00986685">
        <w:t xml:space="preserve"> </w:t>
      </w:r>
      <w:r>
        <w:t>Rz 6</w:t>
      </w:r>
      <w:r w:rsidRPr="00BA1A5E">
        <w:t xml:space="preserve"> (Stand 1.10.2016, rdb.at)</w:t>
      </w:r>
      <w:r w:rsidRPr="00986685">
        <w:t>.</w:t>
      </w:r>
    </w:p>
  </w:footnote>
  <w:footnote w:id="10">
    <w:p w14:paraId="2554BA81" w14:textId="18BD8515" w:rsidR="00DD49DC" w:rsidRPr="00592AF2" w:rsidRDefault="00DD49DC">
      <w:pPr>
        <w:pStyle w:val="Funotentext"/>
        <w:rPr>
          <w:lang w:val="de-DE"/>
        </w:rPr>
      </w:pPr>
      <w:r>
        <w:rPr>
          <w:rStyle w:val="Funotenzeichen"/>
        </w:rPr>
        <w:footnoteRef/>
      </w:r>
      <w:r>
        <w:t xml:space="preserve"> </w:t>
      </w:r>
      <w:r>
        <w:rPr>
          <w:lang w:val="de-DE"/>
        </w:rPr>
        <w:t xml:space="preserve">Dazu </w:t>
      </w:r>
      <w:r w:rsidRPr="00986685">
        <w:rPr>
          <w:i/>
          <w:lang w:val="de-DE"/>
        </w:rPr>
        <w:t>Lang/Lichtmannegger</w:t>
      </w:r>
      <w:r>
        <w:rPr>
          <w:lang w:val="de-DE"/>
        </w:rPr>
        <w:t xml:space="preserve">, </w:t>
      </w:r>
      <w:r>
        <w:t>zfhr 2016, 46</w:t>
      </w:r>
      <w:r>
        <w:rPr>
          <w:lang w:val="de-DE"/>
        </w:rPr>
        <w:t xml:space="preserve">; </w:t>
      </w:r>
      <w:r w:rsidRPr="00986685">
        <w:rPr>
          <w:i/>
          <w:lang w:val="de-DE"/>
        </w:rPr>
        <w:t>Perle</w:t>
      </w:r>
      <w:r>
        <w:t>, zfhr 2016, 146.</w:t>
      </w:r>
    </w:p>
  </w:footnote>
  <w:footnote w:id="11">
    <w:p w14:paraId="2554BA82" w14:textId="0F6FD07B" w:rsidR="00DD49DC" w:rsidRPr="00E23D90" w:rsidRDefault="00DD49DC">
      <w:pPr>
        <w:pStyle w:val="Funotentext"/>
      </w:pPr>
      <w:r>
        <w:rPr>
          <w:rStyle w:val="Funotenzeichen"/>
        </w:rPr>
        <w:footnoteRef/>
      </w:r>
      <w:r>
        <w:t xml:space="preserve"> </w:t>
      </w:r>
      <w:r>
        <w:rPr>
          <w:lang w:val="de-DE"/>
        </w:rPr>
        <w:t>BMWFW 23. 5. 2016, GZ 52.250/0082-WF/IV/6/2016.</w:t>
      </w:r>
    </w:p>
  </w:footnote>
  <w:footnote w:id="12">
    <w:p w14:paraId="2554BA83" w14:textId="39A72F93" w:rsidR="00DD49DC" w:rsidRPr="00592AF2" w:rsidRDefault="00DD49DC">
      <w:pPr>
        <w:pStyle w:val="Funotentext"/>
      </w:pPr>
      <w:r>
        <w:rPr>
          <w:rStyle w:val="Funotenzeichen"/>
        </w:rPr>
        <w:footnoteRef/>
      </w:r>
      <w:r>
        <w:t xml:space="preserve"> </w:t>
      </w:r>
      <w:r w:rsidRPr="00986685">
        <w:rPr>
          <w:i/>
        </w:rPr>
        <w:t>Perle</w:t>
      </w:r>
      <w:r>
        <w:t>, zfhr 2016, 146 f.</w:t>
      </w:r>
    </w:p>
  </w:footnote>
  <w:footnote w:id="13">
    <w:p w14:paraId="0C6F0610" w14:textId="60686367" w:rsidR="00DD49DC" w:rsidRPr="00986685" w:rsidRDefault="00DD49DC">
      <w:pPr>
        <w:pStyle w:val="Funotentext"/>
        <w:rPr>
          <w:lang w:val="de-DE"/>
        </w:rPr>
      </w:pPr>
      <w:r>
        <w:rPr>
          <w:rStyle w:val="Funotenzeichen"/>
        </w:rPr>
        <w:footnoteRef/>
      </w:r>
      <w:r>
        <w:t xml:space="preserve"> </w:t>
      </w:r>
      <w:r>
        <w:rPr>
          <w:lang w:val="de-DE"/>
        </w:rPr>
        <w:t>Vgl allerdings den schon besprochenen Ausschluss der nach dem UG habilitierten Privatdozent/inn/en, der diesen Gesetzeszweck relativiert.</w:t>
      </w:r>
    </w:p>
  </w:footnote>
  <w:footnote w:id="14">
    <w:p w14:paraId="38471E4E" w14:textId="7368E4BE" w:rsidR="00DD49DC" w:rsidRPr="00E94CFD" w:rsidRDefault="00DD49DC">
      <w:pPr>
        <w:pStyle w:val="Funotentext"/>
      </w:pPr>
      <w:r>
        <w:rPr>
          <w:rStyle w:val="Funotenzeichen"/>
        </w:rPr>
        <w:footnoteRef/>
      </w:r>
      <w:r w:rsidRPr="00E94CFD">
        <w:t xml:space="preserve"> </w:t>
      </w:r>
      <w:r w:rsidRPr="00E94CFD">
        <w:rPr>
          <w:i/>
          <w:iCs/>
        </w:rPr>
        <w:t>Kucsko-Stadlmayer</w:t>
      </w:r>
      <w:r w:rsidRPr="00E94CFD">
        <w:t xml:space="preserve"> in </w:t>
      </w:r>
      <w:r w:rsidRPr="00E94CFD">
        <w:rPr>
          <w:i/>
          <w:iCs/>
        </w:rPr>
        <w:t>Perthold-Stoitzner</w:t>
      </w:r>
      <w:r w:rsidRPr="00E94CFD">
        <w:t>, UG</w:t>
      </w:r>
      <w:r w:rsidRPr="005218B6">
        <w:rPr>
          <w:vertAlign w:val="superscript"/>
        </w:rPr>
        <w:t>3</w:t>
      </w:r>
      <w:r w:rsidRPr="00986685">
        <w:t xml:space="preserve"> § 9</w:t>
      </w:r>
      <w:r>
        <w:t>9</w:t>
      </w:r>
      <w:r w:rsidRPr="00E94CFD">
        <w:t xml:space="preserve"> </w:t>
      </w:r>
      <w:r>
        <w:t>Rz 1 (Stand 1.10.2016, rdb.at).</w:t>
      </w:r>
    </w:p>
  </w:footnote>
  <w:footnote w:id="15">
    <w:p w14:paraId="39B35B31" w14:textId="0A5FC9B6" w:rsidR="00DD49DC" w:rsidRPr="00282AED" w:rsidRDefault="00DD49DC">
      <w:pPr>
        <w:pStyle w:val="Funotentext"/>
        <w:rPr>
          <w:lang w:val="de-DE"/>
        </w:rPr>
      </w:pPr>
      <w:r>
        <w:rPr>
          <w:rStyle w:val="Funotenzeichen"/>
        </w:rPr>
        <w:footnoteRef/>
      </w:r>
      <w:r>
        <w:t xml:space="preserve"> </w:t>
      </w:r>
      <w:r>
        <w:rPr>
          <w:lang w:val="de-DE"/>
        </w:rPr>
        <w:t xml:space="preserve">So zutreffend </w:t>
      </w:r>
      <w:r w:rsidRPr="00282AED">
        <w:rPr>
          <w:i/>
          <w:lang w:val="de-DE"/>
        </w:rPr>
        <w:t>Perle</w:t>
      </w:r>
      <w:r>
        <w:rPr>
          <w:lang w:val="de-DE"/>
        </w:rPr>
        <w:t>, zfhr 2016, 149 f.</w:t>
      </w:r>
    </w:p>
  </w:footnote>
  <w:footnote w:id="16">
    <w:p w14:paraId="0D9AB7CE" w14:textId="3FD98F88" w:rsidR="00DD49DC" w:rsidRPr="001E6C6F" w:rsidRDefault="00DD49DC">
      <w:pPr>
        <w:pStyle w:val="Funotentext"/>
      </w:pPr>
      <w:r>
        <w:rPr>
          <w:rStyle w:val="Funotenzeichen"/>
        </w:rPr>
        <w:footnoteRef/>
      </w:r>
      <w:r>
        <w:t xml:space="preserve"> </w:t>
      </w:r>
      <w:r w:rsidRPr="00282AED">
        <w:rPr>
          <w:i/>
        </w:rPr>
        <w:t>Pichl</w:t>
      </w:r>
      <w:r>
        <w:t>, Universitas professorum – tempestivus, varius, fortius, Abschnitt VI,</w:t>
      </w:r>
      <w:r w:rsidR="00A30B94">
        <w:t xml:space="preserve"> </w:t>
      </w:r>
      <w:hyperlink r:id="rId1" w:history="1">
        <w:r w:rsidRPr="001D25AB">
          <w:rPr>
            <w:rStyle w:val="Hyperlink"/>
          </w:rPr>
          <w:t>http://www.jusportal.at/universitas-professorum-tempestivus-varius-fortius/</w:t>
        </w:r>
      </w:hyperlink>
      <w:r>
        <w:t xml:space="preserve"> (abgerufen am 29.02.2016).</w:t>
      </w:r>
    </w:p>
  </w:footnote>
  <w:footnote w:id="17">
    <w:p w14:paraId="363A5B87" w14:textId="50B48D29" w:rsidR="00DD49DC" w:rsidRPr="00986685" w:rsidRDefault="00DD49DC">
      <w:pPr>
        <w:pStyle w:val="Funotentext"/>
        <w:rPr>
          <w:lang w:val="de-DE"/>
        </w:rPr>
      </w:pPr>
      <w:r>
        <w:rPr>
          <w:rStyle w:val="Funotenzeichen"/>
        </w:rPr>
        <w:footnoteRef/>
      </w:r>
      <w:r>
        <w:t xml:space="preserve"> </w:t>
      </w:r>
      <w:r w:rsidRPr="00282AED">
        <w:rPr>
          <w:i/>
          <w:lang w:val="de-DE"/>
        </w:rPr>
        <w:t>Pichl</w:t>
      </w:r>
      <w:r>
        <w:rPr>
          <w:lang w:val="de-DE"/>
        </w:rPr>
        <w:t>, Universitas professorum Abschnitt VI.</w:t>
      </w:r>
    </w:p>
  </w:footnote>
  <w:footnote w:id="18">
    <w:p w14:paraId="02B3B364" w14:textId="6F6C620F" w:rsidR="00DD49DC" w:rsidRPr="00986685" w:rsidRDefault="00DD49DC">
      <w:pPr>
        <w:pStyle w:val="Funotentext"/>
        <w:rPr>
          <w:lang w:val="de-DE"/>
        </w:rPr>
      </w:pPr>
      <w:r>
        <w:rPr>
          <w:rStyle w:val="Funotenzeichen"/>
        </w:rPr>
        <w:footnoteRef/>
      </w:r>
      <w:r>
        <w:t xml:space="preserve"> </w:t>
      </w:r>
      <w:r>
        <w:rPr>
          <w:lang w:val="de-DE"/>
        </w:rPr>
        <w:t>So implizit auch der vom BMWFW zur Verfügung gestellte Leitfaden Universitäre Entwicklungsplanung, BMWFW 19. 12. 2016, GZ 24.990/0018-WF/IV/3/2016, ergangen an die Wirtschaftsuniversität Wien, nicht veröffentlicht, 7.</w:t>
      </w:r>
    </w:p>
  </w:footnote>
  <w:footnote w:id="19">
    <w:p w14:paraId="523B1057" w14:textId="1E8CD82C" w:rsidR="00DD49DC" w:rsidRPr="00986685" w:rsidRDefault="00DD49DC">
      <w:pPr>
        <w:pStyle w:val="Funotentext"/>
        <w:rPr>
          <w:lang w:val="de-DE"/>
        </w:rPr>
      </w:pPr>
      <w:r>
        <w:rPr>
          <w:rStyle w:val="Funotenzeichen"/>
        </w:rPr>
        <w:footnoteRef/>
      </w:r>
      <w:r>
        <w:t xml:space="preserve"> </w:t>
      </w:r>
      <w:r>
        <w:rPr>
          <w:lang w:val="de-DE"/>
        </w:rPr>
        <w:t xml:space="preserve">Dazu </w:t>
      </w:r>
      <w:r w:rsidRPr="00986685">
        <w:rPr>
          <w:i/>
          <w:lang w:val="de-DE"/>
        </w:rPr>
        <w:t>Lang/Lichtmannegger</w:t>
      </w:r>
      <w:r>
        <w:rPr>
          <w:lang w:val="de-DE"/>
        </w:rPr>
        <w:t xml:space="preserve">, </w:t>
      </w:r>
      <w:r>
        <w:t>zfhr 2016, 46.</w:t>
      </w:r>
    </w:p>
  </w:footnote>
  <w:footnote w:id="20">
    <w:p w14:paraId="22E24B9A" w14:textId="35D43A91" w:rsidR="00DD49DC" w:rsidRPr="00986685" w:rsidRDefault="00DD49DC" w:rsidP="0092750F">
      <w:pPr>
        <w:pStyle w:val="Funotentext"/>
      </w:pPr>
      <w:r>
        <w:rPr>
          <w:rStyle w:val="Funotenzeichen"/>
        </w:rPr>
        <w:footnoteRef/>
      </w:r>
      <w:r w:rsidRPr="00893B97">
        <w:rPr>
          <w:i/>
          <w:iCs/>
        </w:rPr>
        <w:t xml:space="preserve"> </w:t>
      </w:r>
      <w:r>
        <w:rPr>
          <w:i/>
          <w:iCs/>
        </w:rPr>
        <w:t>Kucsko-Stadlmayer</w:t>
      </w:r>
      <w:r>
        <w:t xml:space="preserve"> in </w:t>
      </w:r>
      <w:r>
        <w:rPr>
          <w:i/>
          <w:iCs/>
        </w:rPr>
        <w:t>Perthold-Stoitzner</w:t>
      </w:r>
      <w:r>
        <w:t>, UG</w:t>
      </w:r>
      <w:r>
        <w:rPr>
          <w:vertAlign w:val="superscript"/>
        </w:rPr>
        <w:t>3</w:t>
      </w:r>
      <w:r>
        <w:t xml:space="preserve"> § 99 Rz </w:t>
      </w:r>
      <w:r w:rsidRPr="00986685">
        <w:t>15</w:t>
      </w:r>
      <w:r>
        <w:t xml:space="preserve"> (Stand 1.10.2016, rdb.at)</w:t>
      </w:r>
      <w:r w:rsidRPr="00986685">
        <w:t>.</w:t>
      </w:r>
    </w:p>
  </w:footnote>
  <w:footnote w:id="21">
    <w:p w14:paraId="2554BA84" w14:textId="29D7925C" w:rsidR="00DD49DC" w:rsidRPr="00982825" w:rsidRDefault="00DD49DC">
      <w:pPr>
        <w:pStyle w:val="Funotentext"/>
        <w:rPr>
          <w:lang w:val="de-DE"/>
        </w:rPr>
      </w:pPr>
      <w:r>
        <w:rPr>
          <w:rStyle w:val="Funotenzeichen"/>
        </w:rPr>
        <w:footnoteRef/>
      </w:r>
      <w:r>
        <w:t xml:space="preserve"> </w:t>
      </w:r>
      <w:r w:rsidRPr="00986685">
        <w:rPr>
          <w:i/>
          <w:lang w:val="de-DE"/>
        </w:rPr>
        <w:t>Lang/Lichtmannegger</w:t>
      </w:r>
      <w:r>
        <w:rPr>
          <w:lang w:val="de-DE"/>
        </w:rPr>
        <w:t xml:space="preserve">, </w:t>
      </w:r>
      <w:r>
        <w:t>zfhr 2016, 46.</w:t>
      </w:r>
    </w:p>
  </w:footnote>
  <w:footnote w:id="22">
    <w:p w14:paraId="2554BA85" w14:textId="4E16AA6A" w:rsidR="00DD49DC" w:rsidRPr="00982825" w:rsidRDefault="00DD49DC">
      <w:pPr>
        <w:pStyle w:val="Funotentext"/>
        <w:rPr>
          <w:lang w:val="de-DE"/>
        </w:rPr>
      </w:pPr>
      <w:r>
        <w:rPr>
          <w:rStyle w:val="Funotenzeichen"/>
        </w:rPr>
        <w:footnoteRef/>
      </w:r>
      <w:r>
        <w:t xml:space="preserve"> </w:t>
      </w:r>
      <w:r w:rsidRPr="00986685">
        <w:rPr>
          <w:i/>
          <w:lang w:val="de-DE"/>
        </w:rPr>
        <w:t>Lang/Lichtmannegger</w:t>
      </w:r>
      <w:r>
        <w:rPr>
          <w:lang w:val="de-DE"/>
        </w:rPr>
        <w:t xml:space="preserve">, </w:t>
      </w:r>
      <w:r>
        <w:t>zfhr 2016, 46.</w:t>
      </w:r>
    </w:p>
  </w:footnote>
  <w:footnote w:id="23">
    <w:p w14:paraId="5BD4CFB5" w14:textId="65932219" w:rsidR="00DD49DC" w:rsidRPr="00986685" w:rsidRDefault="00DD49DC">
      <w:pPr>
        <w:pStyle w:val="Funotentext"/>
        <w:rPr>
          <w:lang w:val="de-DE"/>
        </w:rPr>
      </w:pPr>
      <w:r>
        <w:rPr>
          <w:rStyle w:val="Funotenzeichen"/>
        </w:rPr>
        <w:footnoteRef/>
      </w:r>
      <w:r>
        <w:t xml:space="preserve"> </w:t>
      </w:r>
      <w:r w:rsidRPr="00986685">
        <w:rPr>
          <w:i/>
        </w:rPr>
        <w:t>Lang/Lichtmannegger</w:t>
      </w:r>
      <w:r>
        <w:t xml:space="preserve">, zfhr 2016, 46; ebenso </w:t>
      </w:r>
      <w:r w:rsidRPr="00986685">
        <w:rPr>
          <w:i/>
        </w:rPr>
        <w:t>Gamper</w:t>
      </w:r>
      <w:r>
        <w:t xml:space="preserve">, Fast-Track Tenure mit Qualitätssicherung? Zum neuen § 99 Abs 4 UG 2002, zfhr 2016, 101 (103); </w:t>
      </w:r>
      <w:r w:rsidRPr="00986685">
        <w:rPr>
          <w:i/>
        </w:rPr>
        <w:t>Perle</w:t>
      </w:r>
      <w:r>
        <w:t>, zfhr 2016, 147;</w:t>
      </w:r>
      <w:r>
        <w:rPr>
          <w:lang w:val="de-DE"/>
        </w:rPr>
        <w:t xml:space="preserve"> </w:t>
      </w:r>
      <w:r>
        <w:rPr>
          <w:i/>
          <w:iCs/>
        </w:rPr>
        <w:t>Kucsko-Stadlmayer</w:t>
      </w:r>
      <w:r>
        <w:t xml:space="preserve"> in </w:t>
      </w:r>
      <w:r>
        <w:rPr>
          <w:i/>
          <w:iCs/>
        </w:rPr>
        <w:t>Perthold-Stoitzner</w:t>
      </w:r>
      <w:r>
        <w:t>, UG</w:t>
      </w:r>
      <w:r>
        <w:rPr>
          <w:vertAlign w:val="superscript"/>
        </w:rPr>
        <w:t>3</w:t>
      </w:r>
      <w:r>
        <w:t xml:space="preserve"> § 99 Rz 19 (Stand 1.10.2016, rdb.at).</w:t>
      </w:r>
    </w:p>
  </w:footnote>
  <w:footnote w:id="24">
    <w:p w14:paraId="2554BA87" w14:textId="797065D2" w:rsidR="00DD49DC" w:rsidRPr="00731FC1" w:rsidRDefault="00DD49DC">
      <w:pPr>
        <w:pStyle w:val="Funotentext"/>
        <w:rPr>
          <w:lang w:val="de-DE"/>
        </w:rPr>
      </w:pPr>
      <w:r>
        <w:rPr>
          <w:rStyle w:val="Funotenzeichen"/>
        </w:rPr>
        <w:footnoteRef/>
      </w:r>
      <w:r>
        <w:t xml:space="preserve"> </w:t>
      </w:r>
      <w:r w:rsidRPr="00986685">
        <w:rPr>
          <w:i/>
          <w:lang w:val="de-DE"/>
        </w:rPr>
        <w:t>Lang/Lichtmannegger</w:t>
      </w:r>
      <w:r>
        <w:rPr>
          <w:lang w:val="de-DE"/>
        </w:rPr>
        <w:t xml:space="preserve">, </w:t>
      </w:r>
      <w:r>
        <w:t>zfhr 2016, 46.</w:t>
      </w:r>
    </w:p>
  </w:footnote>
  <w:footnote w:id="25">
    <w:p w14:paraId="2554BA88" w14:textId="3BEAF334" w:rsidR="00DD49DC" w:rsidRPr="00EA4BD7" w:rsidRDefault="00DD49DC">
      <w:pPr>
        <w:pStyle w:val="Funotentext"/>
      </w:pPr>
      <w:r>
        <w:rPr>
          <w:rStyle w:val="Funotenzeichen"/>
        </w:rPr>
        <w:footnoteRef/>
      </w:r>
      <w:r w:rsidRPr="00EA4BD7">
        <w:t xml:space="preserve"> </w:t>
      </w:r>
      <w:r w:rsidRPr="00986685">
        <w:rPr>
          <w:i/>
        </w:rPr>
        <w:t>Gamper</w:t>
      </w:r>
      <w:r w:rsidRPr="00EA4BD7">
        <w:t xml:space="preserve">, </w:t>
      </w:r>
      <w:r>
        <w:t>zfhr 2016, 105</w:t>
      </w:r>
      <w:r w:rsidRPr="00EA4BD7">
        <w:t xml:space="preserve">; </w:t>
      </w:r>
      <w:r>
        <w:rPr>
          <w:i/>
          <w:iCs/>
        </w:rPr>
        <w:t>Kucsko-Stadlmayer</w:t>
      </w:r>
      <w:r>
        <w:t xml:space="preserve"> in </w:t>
      </w:r>
      <w:r>
        <w:rPr>
          <w:i/>
          <w:iCs/>
        </w:rPr>
        <w:t>Perthold-Stoitzner</w:t>
      </w:r>
      <w:r>
        <w:t>, UG</w:t>
      </w:r>
      <w:r>
        <w:rPr>
          <w:vertAlign w:val="superscript"/>
        </w:rPr>
        <w:t>3</w:t>
      </w:r>
      <w:r>
        <w:t xml:space="preserve"> § 99 Rz 20 (Stand 1.10.2016, rdb.at).</w:t>
      </w:r>
    </w:p>
  </w:footnote>
  <w:footnote w:id="26">
    <w:p w14:paraId="2554BA89" w14:textId="3F80EBBB" w:rsidR="00DD49DC" w:rsidRPr="00731FC1" w:rsidRDefault="00DD49DC">
      <w:pPr>
        <w:pStyle w:val="Funotentext"/>
        <w:rPr>
          <w:lang w:val="de-DE"/>
        </w:rPr>
      </w:pPr>
      <w:r>
        <w:rPr>
          <w:rStyle w:val="Funotenzeichen"/>
        </w:rPr>
        <w:footnoteRef/>
      </w:r>
      <w:r>
        <w:t xml:space="preserve"> </w:t>
      </w:r>
      <w:r w:rsidRPr="00986685">
        <w:rPr>
          <w:i/>
          <w:lang w:val="de-DE"/>
        </w:rPr>
        <w:t>Perle</w:t>
      </w:r>
      <w:r>
        <w:rPr>
          <w:lang w:val="de-DE"/>
        </w:rPr>
        <w:t xml:space="preserve">, </w:t>
      </w:r>
      <w:r>
        <w:t>zfhr 2016, 145.</w:t>
      </w:r>
    </w:p>
  </w:footnote>
  <w:footnote w:id="27">
    <w:p w14:paraId="2554BA8A" w14:textId="4FE0369B" w:rsidR="00DD49DC" w:rsidRPr="00731FC1" w:rsidRDefault="00DD49DC">
      <w:pPr>
        <w:pStyle w:val="Funotentext"/>
        <w:rPr>
          <w:lang w:val="de-DE"/>
        </w:rPr>
      </w:pPr>
      <w:r>
        <w:rPr>
          <w:rStyle w:val="Funotenzeichen"/>
        </w:rPr>
        <w:footnoteRef/>
      </w:r>
      <w:r>
        <w:t xml:space="preserve"> </w:t>
      </w:r>
      <w:r w:rsidRPr="00986685">
        <w:rPr>
          <w:i/>
          <w:lang w:val="de-DE"/>
        </w:rPr>
        <w:t>Perle</w:t>
      </w:r>
      <w:r>
        <w:rPr>
          <w:lang w:val="de-DE"/>
        </w:rPr>
        <w:t xml:space="preserve">, </w:t>
      </w:r>
      <w:r>
        <w:t>zfhr 2016, 145.</w:t>
      </w:r>
    </w:p>
  </w:footnote>
  <w:footnote w:id="28">
    <w:p w14:paraId="2554BA8B" w14:textId="679BB1B2" w:rsidR="00DD49DC" w:rsidRPr="00731FC1" w:rsidRDefault="00DD49DC">
      <w:pPr>
        <w:pStyle w:val="Funotentext"/>
      </w:pPr>
      <w:r>
        <w:rPr>
          <w:rStyle w:val="Funotenzeichen"/>
        </w:rPr>
        <w:footnoteRef/>
      </w:r>
      <w:r>
        <w:t xml:space="preserve"> </w:t>
      </w:r>
      <w:r w:rsidRPr="00986685">
        <w:rPr>
          <w:i/>
        </w:rPr>
        <w:t>Gamper</w:t>
      </w:r>
      <w:r>
        <w:t>, zfhr 2016, 105.</w:t>
      </w:r>
    </w:p>
  </w:footnote>
  <w:footnote w:id="29">
    <w:p w14:paraId="2554BA8C" w14:textId="5DC4D63C" w:rsidR="00DD49DC" w:rsidRPr="00731FC1" w:rsidRDefault="00DD49DC">
      <w:pPr>
        <w:pStyle w:val="Funotentext"/>
        <w:rPr>
          <w:lang w:val="de-DE"/>
        </w:rPr>
      </w:pPr>
      <w:r>
        <w:rPr>
          <w:rStyle w:val="Funotenzeichen"/>
        </w:rPr>
        <w:footnoteRef/>
      </w:r>
      <w:r>
        <w:t xml:space="preserve"> </w:t>
      </w:r>
      <w:r w:rsidRPr="00986685">
        <w:rPr>
          <w:i/>
          <w:lang w:val="de-DE"/>
        </w:rPr>
        <w:t>Perle</w:t>
      </w:r>
      <w:r>
        <w:rPr>
          <w:lang w:val="de-DE"/>
        </w:rPr>
        <w:t xml:space="preserve">, </w:t>
      </w:r>
      <w:r>
        <w:t>zfhr 2016, 144.</w:t>
      </w:r>
    </w:p>
  </w:footnote>
  <w:footnote w:id="30">
    <w:p w14:paraId="427EFE1E" w14:textId="2BFAD070" w:rsidR="00DD49DC" w:rsidRPr="00986685" w:rsidRDefault="00DD49DC">
      <w:pPr>
        <w:pStyle w:val="Funotentext"/>
        <w:rPr>
          <w:lang w:val="de-DE"/>
        </w:rPr>
      </w:pPr>
      <w:r>
        <w:rPr>
          <w:rStyle w:val="Funotenzeichen"/>
        </w:rPr>
        <w:footnoteRef/>
      </w:r>
      <w:r>
        <w:t xml:space="preserve"> </w:t>
      </w:r>
      <w:r w:rsidRPr="000C70D2">
        <w:rPr>
          <w:i/>
          <w:lang w:val="de-DE"/>
        </w:rPr>
        <w:t>Doralt</w:t>
      </w:r>
      <w:r w:rsidRPr="000C70D2">
        <w:rPr>
          <w:lang w:val="de-DE"/>
        </w:rPr>
        <w:t xml:space="preserve">, VwGH: § 6 ABGB-Ministerialentwurf, anders als Regierungsvorlage, keine Auslegungshilfe? RdW 2014, 238; </w:t>
      </w:r>
      <w:r w:rsidRPr="000C70D2">
        <w:rPr>
          <w:i/>
          <w:lang w:val="de-DE"/>
        </w:rPr>
        <w:t>Hristov</w:t>
      </w:r>
      <w:r w:rsidRPr="000C70D2">
        <w:rPr>
          <w:lang w:val="de-DE"/>
        </w:rPr>
        <w:t xml:space="preserve">, VwGH zum Zinsbegriff des § 11 Abs 1 Z 4 KStG, taxlex 2014, 182; </w:t>
      </w:r>
      <w:r w:rsidRPr="000C70D2">
        <w:rPr>
          <w:i/>
          <w:lang w:val="de-DE"/>
        </w:rPr>
        <w:t>Leitner</w:t>
      </w:r>
      <w:r w:rsidRPr="000C70D2">
        <w:rPr>
          <w:lang w:val="de-DE"/>
        </w:rPr>
        <w:t>, VwGH zur historischen Auslegung des Zinsenbegriffs iSd § 11 Abs 1 Z 4 KStG</w:t>
      </w:r>
      <w:r>
        <w:rPr>
          <w:lang w:val="de-DE"/>
        </w:rPr>
        <w:t xml:space="preserve">, </w:t>
      </w:r>
      <w:r w:rsidRPr="000C70D2">
        <w:rPr>
          <w:lang w:val="de-DE"/>
        </w:rPr>
        <w:t xml:space="preserve">ÖStZ 2014, 239; </w:t>
      </w:r>
      <w:r w:rsidRPr="000C70D2">
        <w:rPr>
          <w:i/>
          <w:lang w:val="de-DE"/>
        </w:rPr>
        <w:t>Mayr</w:t>
      </w:r>
      <w:r w:rsidRPr="000C70D2">
        <w:rPr>
          <w:lang w:val="de-DE"/>
        </w:rPr>
        <w:t xml:space="preserve">, Fremdfinanzierungszinsen für Beteiligungen und juristische Auslegungslehre, RdW 2014, 428; </w:t>
      </w:r>
      <w:r w:rsidRPr="000C70D2">
        <w:rPr>
          <w:i/>
          <w:lang w:val="de-DE"/>
        </w:rPr>
        <w:t>Wiesner</w:t>
      </w:r>
      <w:r w:rsidRPr="000C70D2">
        <w:rPr>
          <w:lang w:val="de-DE"/>
        </w:rPr>
        <w:t>, Der Zinsenbegriff des § 11 Abs 1 Z 4 KStG, RWZ 2014, 103.</w:t>
      </w:r>
    </w:p>
  </w:footnote>
  <w:footnote w:id="31">
    <w:p w14:paraId="2554BA8D" w14:textId="1DFD0E51" w:rsidR="00DD49DC" w:rsidRPr="00ED3CF0" w:rsidRDefault="00DD49DC">
      <w:pPr>
        <w:pStyle w:val="Funotentext"/>
        <w:rPr>
          <w:lang w:val="de-DE"/>
        </w:rPr>
      </w:pPr>
      <w:r>
        <w:rPr>
          <w:rStyle w:val="Funotenzeichen"/>
        </w:rPr>
        <w:footnoteRef/>
      </w:r>
      <w:r>
        <w:t xml:space="preserve"> </w:t>
      </w:r>
      <w:r>
        <w:rPr>
          <w:lang w:val="de-DE"/>
        </w:rPr>
        <w:t xml:space="preserve">VwGH 27. 2. 2014, </w:t>
      </w:r>
      <w:r w:rsidRPr="0044040D">
        <w:rPr>
          <w:lang w:val="de-DE"/>
        </w:rPr>
        <w:t>2011/15/0199</w:t>
      </w:r>
      <w:r>
        <w:rPr>
          <w:lang w:val="de-DE"/>
        </w:rPr>
        <w:t>-5, RdW 2014, 237.</w:t>
      </w:r>
    </w:p>
  </w:footnote>
  <w:footnote w:id="32">
    <w:p w14:paraId="0F6CBC88" w14:textId="08ED8521" w:rsidR="00DD49DC" w:rsidRPr="00986685" w:rsidRDefault="00DD49DC">
      <w:pPr>
        <w:pStyle w:val="Funotentext"/>
        <w:rPr>
          <w:lang w:val="de-DE"/>
        </w:rPr>
      </w:pPr>
      <w:r>
        <w:rPr>
          <w:rStyle w:val="Funotenzeichen"/>
        </w:rPr>
        <w:footnoteRef/>
      </w:r>
      <w:r>
        <w:t xml:space="preserve"> </w:t>
      </w:r>
      <w:r>
        <w:rPr>
          <w:lang w:val="de-DE"/>
        </w:rPr>
        <w:t xml:space="preserve">Vgl auch </w:t>
      </w:r>
      <w:r>
        <w:rPr>
          <w:i/>
          <w:iCs/>
        </w:rPr>
        <w:t>Kucsko-Stadlmayer</w:t>
      </w:r>
      <w:r>
        <w:t xml:space="preserve"> in </w:t>
      </w:r>
      <w:r>
        <w:rPr>
          <w:i/>
          <w:iCs/>
        </w:rPr>
        <w:t>Perthold-Stoitzner</w:t>
      </w:r>
      <w:r>
        <w:t>, UG</w:t>
      </w:r>
      <w:r>
        <w:rPr>
          <w:vertAlign w:val="superscript"/>
        </w:rPr>
        <w:t>3</w:t>
      </w:r>
      <w:r>
        <w:t xml:space="preserve"> § 99 Rz 24 (Stand 1.10.2016, rdb.at)</w:t>
      </w:r>
      <w:r>
        <w:rPr>
          <w:lang w:val="de-DE"/>
        </w:rPr>
        <w:t>, die aus § 99 Abs 7 UG ableitet, dass die Stellen nach § 99 Abs 4 UG „periodisch wiederkehrend“ festzusetzen sind.</w:t>
      </w:r>
    </w:p>
  </w:footnote>
  <w:footnote w:id="33">
    <w:p w14:paraId="2554BA8F" w14:textId="501B28C9" w:rsidR="00DD49DC" w:rsidRPr="001270C2" w:rsidRDefault="00DD49DC">
      <w:pPr>
        <w:pStyle w:val="Funotentext"/>
      </w:pPr>
      <w:r>
        <w:rPr>
          <w:rStyle w:val="Funotenzeichen"/>
        </w:rPr>
        <w:footnoteRef/>
      </w:r>
      <w:r>
        <w:t xml:space="preserve"> So schon </w:t>
      </w:r>
      <w:r w:rsidRPr="00986685">
        <w:rPr>
          <w:i/>
        </w:rPr>
        <w:t>Lang/Lichtmannegger</w:t>
      </w:r>
      <w:r>
        <w:t xml:space="preserve">, zfhr 2016, 46; zustimmend </w:t>
      </w:r>
      <w:r w:rsidRPr="00986685">
        <w:rPr>
          <w:i/>
        </w:rPr>
        <w:t>Gamper</w:t>
      </w:r>
      <w:r>
        <w:t xml:space="preserve">, zfhr 2016, 105. Auch das BMWFW selbst dürfte implizit von dieser Auffassung ausgehen, wenn sich in dem vom BMWFW zur Verfügung gestellten Leitfaden </w:t>
      </w:r>
      <w:r>
        <w:rPr>
          <w:lang w:val="de-DE"/>
        </w:rPr>
        <w:t>Universitäre Entwicklungsplanung</w:t>
      </w:r>
      <w:r>
        <w:t xml:space="preserve">, </w:t>
      </w:r>
      <w:r>
        <w:rPr>
          <w:lang w:val="de-DE"/>
        </w:rPr>
        <w:t>BMWFW 19. 12. 2016, GZ 24.990/0018-WF/IV/3/2016</w:t>
      </w:r>
      <w:r>
        <w:t xml:space="preserve">, 7 folgende Formulierung findet: </w:t>
      </w:r>
      <w:r w:rsidRPr="0092750F">
        <w:t>„Sofern an der Universität keine Stellen nach § 99 Abs 4 UG eingerichtet werden …“</w:t>
      </w:r>
      <w:r>
        <w:t>.</w:t>
      </w:r>
    </w:p>
  </w:footnote>
  <w:footnote w:id="34">
    <w:p w14:paraId="4A42806B" w14:textId="33FCA038" w:rsidR="00DD49DC" w:rsidRPr="009978E1" w:rsidRDefault="00DD49DC">
      <w:pPr>
        <w:pStyle w:val="Funotentext"/>
        <w:rPr>
          <w:lang w:val="de-DE"/>
        </w:rPr>
      </w:pPr>
      <w:r>
        <w:rPr>
          <w:rStyle w:val="Funotenzeichen"/>
        </w:rPr>
        <w:footnoteRef/>
      </w:r>
      <w:r>
        <w:t xml:space="preserve"> ErläutRV 797 BlgNR 25. GP 15.</w:t>
      </w:r>
    </w:p>
  </w:footnote>
  <w:footnote w:id="35">
    <w:p w14:paraId="22472391" w14:textId="45949BDB" w:rsidR="00DD49DC" w:rsidRPr="004D2E04" w:rsidRDefault="00DD49DC" w:rsidP="005A4E25">
      <w:pPr>
        <w:pStyle w:val="Funotentext"/>
      </w:pPr>
      <w:r>
        <w:rPr>
          <w:rStyle w:val="Funotenzeichen"/>
        </w:rPr>
        <w:footnoteRef/>
      </w:r>
      <w:r>
        <w:t xml:space="preserve"> So </w:t>
      </w:r>
      <w:r w:rsidRPr="00492AA6">
        <w:rPr>
          <w:i/>
        </w:rPr>
        <w:t>Gamper</w:t>
      </w:r>
      <w:r>
        <w:t>, zfhr 2016, 106 FN 39.</w:t>
      </w:r>
    </w:p>
  </w:footnote>
  <w:footnote w:id="36">
    <w:p w14:paraId="4BF57BFF" w14:textId="4FD130AD" w:rsidR="00DD49DC" w:rsidRPr="009978E1" w:rsidRDefault="00DD49DC">
      <w:pPr>
        <w:pStyle w:val="Funotentext"/>
        <w:rPr>
          <w:lang w:val="de-DE"/>
        </w:rPr>
      </w:pPr>
      <w:r>
        <w:rPr>
          <w:rStyle w:val="Funotenzeichen"/>
        </w:rPr>
        <w:footnoteRef/>
      </w:r>
      <w:r>
        <w:t xml:space="preserve"> So schon </w:t>
      </w:r>
      <w:r w:rsidRPr="00986685">
        <w:rPr>
          <w:i/>
        </w:rPr>
        <w:t>Lang/Lichtmannegger</w:t>
      </w:r>
      <w:r>
        <w:t>, zfhr 2016, 48 f.</w:t>
      </w:r>
    </w:p>
  </w:footnote>
  <w:footnote w:id="37">
    <w:p w14:paraId="2554BA92" w14:textId="55B76978" w:rsidR="00DD49DC" w:rsidRPr="00F66F10" w:rsidRDefault="00DD49DC">
      <w:pPr>
        <w:pStyle w:val="Funotentext"/>
      </w:pPr>
      <w:r>
        <w:rPr>
          <w:rStyle w:val="Funotenzeichen"/>
        </w:rPr>
        <w:footnoteRef/>
      </w:r>
      <w:r w:rsidRPr="00F66F10">
        <w:t xml:space="preserve"> </w:t>
      </w:r>
      <w:r w:rsidRPr="00986685">
        <w:t>Vgl a</w:t>
      </w:r>
      <w:r>
        <w:rPr>
          <w:lang w:val="de-DE"/>
        </w:rPr>
        <w:t xml:space="preserve">uch </w:t>
      </w:r>
      <w:r w:rsidRPr="00F66F10">
        <w:rPr>
          <w:i/>
          <w:iCs/>
        </w:rPr>
        <w:t>Kucsko-Stadlmayer</w:t>
      </w:r>
      <w:r w:rsidRPr="007E06BC">
        <w:t xml:space="preserve"> in</w:t>
      </w:r>
      <w:r w:rsidRPr="002B3381">
        <w:t xml:space="preserve"> </w:t>
      </w:r>
      <w:r w:rsidRPr="00893B97">
        <w:rPr>
          <w:i/>
          <w:iCs/>
        </w:rPr>
        <w:t>Perthold-Stoitzner</w:t>
      </w:r>
      <w:r w:rsidRPr="00F05B6B">
        <w:t>, UG</w:t>
      </w:r>
      <w:r w:rsidRPr="00F05B6B">
        <w:rPr>
          <w:vertAlign w:val="superscript"/>
        </w:rPr>
        <w:t>3</w:t>
      </w:r>
      <w:r w:rsidRPr="00B476F2">
        <w:t xml:space="preserve"> § </w:t>
      </w:r>
      <w:r>
        <w:t xml:space="preserve">99 Rz </w:t>
      </w:r>
      <w:r w:rsidRPr="00B476F2">
        <w:t>20</w:t>
      </w:r>
      <w:r>
        <w:t xml:space="preserve"> (Stand 1.10.2016, rdb.at).</w:t>
      </w:r>
    </w:p>
  </w:footnote>
  <w:footnote w:id="38">
    <w:p w14:paraId="2554BA93" w14:textId="17133360" w:rsidR="00DD49DC" w:rsidRPr="002D6D42" w:rsidRDefault="00DD49DC">
      <w:pPr>
        <w:pStyle w:val="Funotentext"/>
        <w:rPr>
          <w:lang w:val="de-DE"/>
        </w:rPr>
      </w:pPr>
      <w:r>
        <w:rPr>
          <w:rStyle w:val="Funotenzeichen"/>
        </w:rPr>
        <w:footnoteRef/>
      </w:r>
      <w:r>
        <w:t xml:space="preserve"> </w:t>
      </w:r>
      <w:r>
        <w:rPr>
          <w:lang w:val="de-DE"/>
        </w:rPr>
        <w:t xml:space="preserve">So auch </w:t>
      </w:r>
      <w:r w:rsidRPr="00986685">
        <w:rPr>
          <w:i/>
          <w:lang w:val="de-DE"/>
        </w:rPr>
        <w:t>Gamper</w:t>
      </w:r>
      <w:r>
        <w:rPr>
          <w:lang w:val="de-DE"/>
        </w:rPr>
        <w:t xml:space="preserve">, </w:t>
      </w:r>
      <w:r>
        <w:t>zfhr 2016,</w:t>
      </w:r>
      <w:r>
        <w:rPr>
          <w:lang w:val="de-DE"/>
        </w:rPr>
        <w:t xml:space="preserve"> 107; </w:t>
      </w:r>
      <w:r w:rsidRPr="00986685">
        <w:rPr>
          <w:i/>
          <w:lang w:val="de-DE"/>
        </w:rPr>
        <w:t>Perle</w:t>
      </w:r>
      <w:r>
        <w:rPr>
          <w:lang w:val="de-DE"/>
        </w:rPr>
        <w:t xml:space="preserve">, </w:t>
      </w:r>
      <w:r>
        <w:t>zfhr 2016, 145.</w:t>
      </w:r>
    </w:p>
  </w:footnote>
  <w:footnote w:id="39">
    <w:p w14:paraId="059123AF" w14:textId="03CC2839" w:rsidR="00DD49DC" w:rsidRPr="00986685" w:rsidRDefault="00DD49DC">
      <w:pPr>
        <w:pStyle w:val="Funotentext"/>
        <w:rPr>
          <w:lang w:val="de-DE"/>
        </w:rPr>
      </w:pPr>
      <w:r>
        <w:rPr>
          <w:rStyle w:val="Funotenzeichen"/>
        </w:rPr>
        <w:footnoteRef/>
      </w:r>
      <w:r>
        <w:t xml:space="preserve"> </w:t>
      </w:r>
      <w:r w:rsidRPr="00986685">
        <w:rPr>
          <w:i/>
        </w:rPr>
        <w:t>Lang/Lichtmannegger</w:t>
      </w:r>
      <w:r>
        <w:t>, zfhr 2016, 46 f.</w:t>
      </w:r>
    </w:p>
  </w:footnote>
  <w:footnote w:id="40">
    <w:p w14:paraId="2554BA94" w14:textId="08863BA1" w:rsidR="00DD49DC" w:rsidRPr="004C3433" w:rsidRDefault="00DD49DC">
      <w:pPr>
        <w:pStyle w:val="Funotentext"/>
      </w:pPr>
      <w:r>
        <w:rPr>
          <w:rStyle w:val="Funotenzeichen"/>
        </w:rPr>
        <w:footnoteRef/>
      </w:r>
      <w:r>
        <w:t xml:space="preserve"> </w:t>
      </w:r>
      <w:r w:rsidRPr="00986685">
        <w:rPr>
          <w:i/>
        </w:rPr>
        <w:t>Perle</w:t>
      </w:r>
      <w:r>
        <w:t>, zfhr 2016, 147.</w:t>
      </w:r>
    </w:p>
  </w:footnote>
  <w:footnote w:id="41">
    <w:p w14:paraId="2554BA95" w14:textId="11E61D88" w:rsidR="00DD49DC" w:rsidRPr="00986685" w:rsidRDefault="00DD49DC">
      <w:pPr>
        <w:pStyle w:val="Funotentext"/>
      </w:pPr>
      <w:r>
        <w:rPr>
          <w:rStyle w:val="Funotenzeichen"/>
        </w:rPr>
        <w:footnoteRef/>
      </w:r>
      <w:r w:rsidRPr="00986685">
        <w:t xml:space="preserve"> </w:t>
      </w:r>
      <w:r w:rsidRPr="00986685">
        <w:rPr>
          <w:i/>
        </w:rPr>
        <w:t>Gamper</w:t>
      </w:r>
      <w:r>
        <w:t xml:space="preserve">, zfhr 2016, 107; </w:t>
      </w:r>
      <w:r w:rsidRPr="00986685">
        <w:rPr>
          <w:i/>
        </w:rPr>
        <w:t>Perle</w:t>
      </w:r>
      <w:r>
        <w:t>, zfhr 2016, 147.</w:t>
      </w:r>
    </w:p>
  </w:footnote>
  <w:footnote w:id="42">
    <w:p w14:paraId="7140436C" w14:textId="0F6E94B4" w:rsidR="00DD49DC" w:rsidRPr="00986685" w:rsidRDefault="00DD49DC">
      <w:pPr>
        <w:pStyle w:val="Funotentext"/>
        <w:rPr>
          <w:lang w:val="de-DE"/>
        </w:rPr>
      </w:pPr>
      <w:r>
        <w:rPr>
          <w:rStyle w:val="Funotenzeichen"/>
        </w:rPr>
        <w:footnoteRef/>
      </w:r>
      <w:r>
        <w:t xml:space="preserve"> </w:t>
      </w:r>
      <w:r>
        <w:rPr>
          <w:lang w:val="de-DE"/>
        </w:rPr>
        <w:t xml:space="preserve">Vgl auch mögliche Kriterien bei </w:t>
      </w:r>
      <w:r>
        <w:rPr>
          <w:i/>
          <w:iCs/>
        </w:rPr>
        <w:t>Kucsko-Stadlmayer</w:t>
      </w:r>
      <w:r>
        <w:t xml:space="preserve"> in </w:t>
      </w:r>
      <w:r>
        <w:rPr>
          <w:i/>
          <w:iCs/>
        </w:rPr>
        <w:t>Perthold-Stoitzner</w:t>
      </w:r>
      <w:r>
        <w:t>, UG</w:t>
      </w:r>
      <w:r>
        <w:rPr>
          <w:vertAlign w:val="superscript"/>
        </w:rPr>
        <w:t>3</w:t>
      </w:r>
      <w:r>
        <w:t xml:space="preserve"> § 98 RZ 41 (Stand 1.10.2016, rdb.at)</w:t>
      </w:r>
      <w:r>
        <w:rPr>
          <w:lang w:val="de-DE"/>
        </w:rPr>
        <w:t xml:space="preserve">; </w:t>
      </w:r>
      <w:r w:rsidRPr="00986685">
        <w:rPr>
          <w:i/>
          <w:lang w:val="de-DE"/>
        </w:rPr>
        <w:t>Novak</w:t>
      </w:r>
      <w:r>
        <w:rPr>
          <w:lang w:val="de-DE"/>
        </w:rPr>
        <w:t>, Das Berufungsverfahren nach UnivG 2002: Funktionsweise, Probleme, Reformperspektiven (2007) 30.</w:t>
      </w:r>
    </w:p>
  </w:footnote>
  <w:footnote w:id="43">
    <w:p w14:paraId="294B4B91" w14:textId="7428811C" w:rsidR="00DD49DC" w:rsidRPr="00986685" w:rsidRDefault="00DD49DC">
      <w:pPr>
        <w:pStyle w:val="Funotentext"/>
        <w:rPr>
          <w:lang w:val="de-DE"/>
        </w:rPr>
      </w:pPr>
      <w:r>
        <w:rPr>
          <w:rStyle w:val="Funotenzeichen"/>
        </w:rPr>
        <w:footnoteRef/>
      </w:r>
      <w:r>
        <w:t xml:space="preserve"> </w:t>
      </w:r>
      <w:r w:rsidRPr="00986685">
        <w:rPr>
          <w:i/>
        </w:rPr>
        <w:t>Gamper</w:t>
      </w:r>
      <w:r>
        <w:t xml:space="preserve">, zfhr 2016, 107; </w:t>
      </w:r>
      <w:r w:rsidRPr="00986685">
        <w:rPr>
          <w:i/>
        </w:rPr>
        <w:t>Perle</w:t>
      </w:r>
      <w:r>
        <w:t>, zfhr 2016, 147.</w:t>
      </w:r>
    </w:p>
  </w:footnote>
  <w:footnote w:id="44">
    <w:p w14:paraId="6B0B538C" w14:textId="4B030314" w:rsidR="0064341D" w:rsidRPr="009844F8" w:rsidRDefault="0064341D">
      <w:pPr>
        <w:pStyle w:val="Funotentext"/>
        <w:rPr>
          <w:lang w:val="de-DE"/>
        </w:rPr>
      </w:pPr>
      <w:r>
        <w:rPr>
          <w:rStyle w:val="Funotenzeichen"/>
        </w:rPr>
        <w:footnoteRef/>
      </w:r>
      <w:r>
        <w:t xml:space="preserve"> Nach </w:t>
      </w:r>
      <w:r w:rsidRPr="00986685">
        <w:rPr>
          <w:i/>
          <w:iCs/>
          <w:lang w:val="de-DE"/>
        </w:rPr>
        <w:t>Kucsko-Stadlmayer</w:t>
      </w:r>
      <w:r w:rsidRPr="00986685">
        <w:rPr>
          <w:lang w:val="de-DE"/>
        </w:rPr>
        <w:t xml:space="preserve"> in </w:t>
      </w:r>
      <w:r w:rsidRPr="00986685">
        <w:rPr>
          <w:i/>
          <w:iCs/>
          <w:lang w:val="de-DE"/>
        </w:rPr>
        <w:t>Perthold-Stoitzner</w:t>
      </w:r>
      <w:r w:rsidRPr="00986685">
        <w:rPr>
          <w:lang w:val="de-DE"/>
        </w:rPr>
        <w:t>, UG</w:t>
      </w:r>
      <w:r w:rsidRPr="00986685">
        <w:rPr>
          <w:vertAlign w:val="superscript"/>
          <w:lang w:val="de-DE"/>
        </w:rPr>
        <w:t>3</w:t>
      </w:r>
      <w:r w:rsidRPr="00986685">
        <w:rPr>
          <w:lang w:val="de-DE"/>
        </w:rPr>
        <w:t xml:space="preserve"> § 9</w:t>
      </w:r>
      <w:r>
        <w:rPr>
          <w:lang w:val="de-DE"/>
        </w:rPr>
        <w:t>8</w:t>
      </w:r>
      <w:r w:rsidRPr="00986685">
        <w:rPr>
          <w:lang w:val="de-DE"/>
        </w:rPr>
        <w:t xml:space="preserve"> </w:t>
      </w:r>
      <w:r>
        <w:rPr>
          <w:lang w:val="de-DE"/>
        </w:rPr>
        <w:t xml:space="preserve">Rz 20 </w:t>
      </w:r>
      <w:r w:rsidRPr="00986685">
        <w:rPr>
          <w:lang w:val="de-DE"/>
        </w:rPr>
        <w:t>(Stand 1.10.2016, rdb.at)</w:t>
      </w:r>
      <w:r>
        <w:rPr>
          <w:lang w:val="de-DE"/>
        </w:rPr>
        <w:t xml:space="preserve"> kann die Satzung den Inhalt des Begri</w:t>
      </w:r>
      <w:r w:rsidR="00CC234F">
        <w:rPr>
          <w:lang w:val="de-DE"/>
        </w:rPr>
        <w:t>f</w:t>
      </w:r>
      <w:r>
        <w:rPr>
          <w:lang w:val="de-DE"/>
        </w:rPr>
        <w:t xml:space="preserve">fs Fachbereich näher bestimmen. Den Begriff des fachlichen Bereichs setzt sie offenbar mit dem des Fachbereichs gleich (ausdrücklich für Zwecke des § 99 Abs 2 UG: </w:t>
      </w:r>
      <w:r w:rsidRPr="00986685">
        <w:rPr>
          <w:i/>
          <w:iCs/>
          <w:lang w:val="de-DE"/>
        </w:rPr>
        <w:t>Kucsko-Stadlmayer</w:t>
      </w:r>
      <w:r w:rsidRPr="00986685">
        <w:rPr>
          <w:lang w:val="de-DE"/>
        </w:rPr>
        <w:t xml:space="preserve"> in </w:t>
      </w:r>
      <w:r w:rsidRPr="00986685">
        <w:rPr>
          <w:i/>
          <w:iCs/>
          <w:lang w:val="de-DE"/>
        </w:rPr>
        <w:t>Perthold-Stoitzner</w:t>
      </w:r>
      <w:r w:rsidRPr="00986685">
        <w:rPr>
          <w:lang w:val="de-DE"/>
        </w:rPr>
        <w:t>, UG</w:t>
      </w:r>
      <w:r w:rsidRPr="00986685">
        <w:rPr>
          <w:vertAlign w:val="superscript"/>
          <w:lang w:val="de-DE"/>
        </w:rPr>
        <w:t>3</w:t>
      </w:r>
      <w:r w:rsidRPr="00986685">
        <w:rPr>
          <w:lang w:val="de-DE"/>
        </w:rPr>
        <w:t xml:space="preserve"> § 99 </w:t>
      </w:r>
      <w:r>
        <w:rPr>
          <w:lang w:val="de-DE"/>
        </w:rPr>
        <w:t>Rz 9</w:t>
      </w:r>
      <w:r w:rsidR="009844F8">
        <w:rPr>
          <w:lang w:val="de-DE"/>
        </w:rPr>
        <w:t xml:space="preserve"> (</w:t>
      </w:r>
      <w:r w:rsidRPr="00986685">
        <w:rPr>
          <w:lang w:val="de-DE"/>
        </w:rPr>
        <w:t>Stand 1.10.2016, rdb.at</w:t>
      </w:r>
      <w:r w:rsidR="009844F8">
        <w:rPr>
          <w:lang w:val="de-DE"/>
        </w:rPr>
        <w:t>)</w:t>
      </w:r>
      <w:r>
        <w:rPr>
          <w:lang w:val="de-DE"/>
        </w:rPr>
        <w:t xml:space="preserve">; implizit für Zwecke des § 99 Abs 4 UG: </w:t>
      </w:r>
      <w:r w:rsidRPr="00986685">
        <w:rPr>
          <w:i/>
          <w:iCs/>
          <w:lang w:val="de-DE"/>
        </w:rPr>
        <w:t>Kucsko-Stadlmayer</w:t>
      </w:r>
      <w:r w:rsidRPr="00986685">
        <w:rPr>
          <w:lang w:val="de-DE"/>
        </w:rPr>
        <w:t xml:space="preserve"> in </w:t>
      </w:r>
      <w:r w:rsidRPr="00986685">
        <w:rPr>
          <w:i/>
          <w:iCs/>
          <w:lang w:val="de-DE"/>
        </w:rPr>
        <w:t>Perthold-Stoitzner</w:t>
      </w:r>
      <w:r w:rsidRPr="00986685">
        <w:rPr>
          <w:lang w:val="de-DE"/>
        </w:rPr>
        <w:t>, UG</w:t>
      </w:r>
      <w:r w:rsidRPr="00986685">
        <w:rPr>
          <w:vertAlign w:val="superscript"/>
          <w:lang w:val="de-DE"/>
        </w:rPr>
        <w:t>3</w:t>
      </w:r>
      <w:r w:rsidRPr="00986685">
        <w:rPr>
          <w:lang w:val="de-DE"/>
        </w:rPr>
        <w:t xml:space="preserve"> § 99 </w:t>
      </w:r>
      <w:r>
        <w:rPr>
          <w:lang w:val="de-DE"/>
        </w:rPr>
        <w:t>Rz 22</w:t>
      </w:r>
      <w:r w:rsidR="009844F8">
        <w:rPr>
          <w:lang w:val="de-DE"/>
        </w:rPr>
        <w:t xml:space="preserve"> (</w:t>
      </w:r>
      <w:r w:rsidRPr="00986685">
        <w:rPr>
          <w:lang w:val="de-DE"/>
        </w:rPr>
        <w:t>Stand 1.10.2016, rdb.at</w:t>
      </w:r>
      <w:r w:rsidR="009844F8">
        <w:rPr>
          <w:lang w:val="de-DE"/>
        </w:rPr>
        <w:t>)</w:t>
      </w:r>
      <w:r>
        <w:rPr>
          <w:lang w:val="de-DE"/>
        </w:rPr>
        <w:t>, wo sie von „Fachbereich“ spricht, obwohl § 99 Abs 4 UG den Begriff des „fachlichen Bereichs“ verwendet</w:t>
      </w:r>
      <w:r w:rsidRPr="00986685">
        <w:rPr>
          <w:lang w:val="de-DE"/>
        </w:rPr>
        <w:t>)</w:t>
      </w:r>
      <w:r w:rsidR="000B7954">
        <w:rPr>
          <w:lang w:val="de-DE"/>
        </w:rPr>
        <w:t>.</w:t>
      </w:r>
    </w:p>
  </w:footnote>
  <w:footnote w:id="45">
    <w:p w14:paraId="2554BA96" w14:textId="2CECDCDE" w:rsidR="00DD49DC" w:rsidRPr="00986685" w:rsidRDefault="00DD49DC">
      <w:pPr>
        <w:pStyle w:val="Funotentext"/>
        <w:rPr>
          <w:lang w:val="de-DE"/>
        </w:rPr>
      </w:pPr>
      <w:r>
        <w:rPr>
          <w:rStyle w:val="Funotenzeichen"/>
        </w:rPr>
        <w:footnoteRef/>
      </w:r>
      <w:r w:rsidRPr="00986685">
        <w:rPr>
          <w:lang w:val="de-DE"/>
        </w:rPr>
        <w:t xml:space="preserve"> </w:t>
      </w:r>
      <w:r w:rsidRPr="00986685">
        <w:rPr>
          <w:i/>
          <w:iCs/>
          <w:lang w:val="de-DE"/>
        </w:rPr>
        <w:t>Kucsko-Stadlmayer</w:t>
      </w:r>
      <w:r w:rsidRPr="00986685">
        <w:rPr>
          <w:lang w:val="de-DE"/>
        </w:rPr>
        <w:t xml:space="preserve"> in </w:t>
      </w:r>
      <w:r w:rsidRPr="00986685">
        <w:rPr>
          <w:i/>
          <w:iCs/>
          <w:lang w:val="de-DE"/>
        </w:rPr>
        <w:t>Perthold-Stoitzner</w:t>
      </w:r>
      <w:r w:rsidRPr="00986685">
        <w:rPr>
          <w:lang w:val="de-DE"/>
        </w:rPr>
        <w:t>, UG</w:t>
      </w:r>
      <w:r w:rsidRPr="00986685">
        <w:rPr>
          <w:vertAlign w:val="superscript"/>
          <w:lang w:val="de-DE"/>
        </w:rPr>
        <w:t>3</w:t>
      </w:r>
      <w:r w:rsidRPr="00986685">
        <w:rPr>
          <w:lang w:val="de-DE"/>
        </w:rPr>
        <w:t xml:space="preserve"> § 99 </w:t>
      </w:r>
      <w:r>
        <w:rPr>
          <w:lang w:val="de-DE"/>
        </w:rPr>
        <w:t xml:space="preserve">Rz 22 </w:t>
      </w:r>
      <w:r w:rsidRPr="00986685">
        <w:rPr>
          <w:lang w:val="de-DE"/>
        </w:rPr>
        <w:t>(Stand 1.10.2016, rdb.at).</w:t>
      </w:r>
    </w:p>
  </w:footnote>
  <w:footnote w:id="46">
    <w:p w14:paraId="12D527CA" w14:textId="7B78E60B" w:rsidR="00DD49DC" w:rsidRPr="00BD0849" w:rsidRDefault="00DD49DC">
      <w:pPr>
        <w:pStyle w:val="Funotentext"/>
      </w:pPr>
      <w:r>
        <w:rPr>
          <w:rStyle w:val="Funotenzeichen"/>
        </w:rPr>
        <w:footnoteRef/>
      </w:r>
      <w:r>
        <w:t xml:space="preserve"> Anders </w:t>
      </w:r>
      <w:r w:rsidRPr="00B872B1">
        <w:rPr>
          <w:i/>
        </w:rPr>
        <w:t>Gamper</w:t>
      </w:r>
      <w:r>
        <w:t>, zfhr 2016, 107.</w:t>
      </w:r>
    </w:p>
  </w:footnote>
  <w:footnote w:id="47">
    <w:p w14:paraId="4462B1BA" w14:textId="73491CA7" w:rsidR="009F61A3" w:rsidRDefault="009F61A3">
      <w:pPr>
        <w:pStyle w:val="Funotentext"/>
      </w:pPr>
      <w:r>
        <w:rPr>
          <w:rStyle w:val="Funotenzeichen"/>
        </w:rPr>
        <w:footnoteRef/>
      </w:r>
      <w:r>
        <w:t xml:space="preserve"> </w:t>
      </w:r>
      <w:r w:rsidRPr="00986685">
        <w:rPr>
          <w:i/>
        </w:rPr>
        <w:t>Perle</w:t>
      </w:r>
      <w:r>
        <w:t>, zfhr 2016, 145.</w:t>
      </w:r>
    </w:p>
  </w:footnote>
  <w:footnote w:id="48">
    <w:p w14:paraId="2554BA97" w14:textId="72B2F5E0" w:rsidR="00DD49DC" w:rsidRPr="00986685" w:rsidRDefault="00DD49DC" w:rsidP="00966E13">
      <w:pPr>
        <w:pStyle w:val="Funotentext"/>
      </w:pPr>
      <w:r>
        <w:rPr>
          <w:rStyle w:val="Funotenzeichen"/>
        </w:rPr>
        <w:footnoteRef/>
      </w:r>
      <w:r w:rsidRPr="00966E13">
        <w:t xml:space="preserve"> </w:t>
      </w:r>
      <w:r w:rsidRPr="00986685">
        <w:rPr>
          <w:i/>
        </w:rPr>
        <w:t>Lang/Lichtmannegger</w:t>
      </w:r>
      <w:r w:rsidRPr="00966E13">
        <w:t xml:space="preserve">, </w:t>
      </w:r>
      <w:r>
        <w:t>zfhr 2016, 47</w:t>
      </w:r>
      <w:r w:rsidRPr="00966E13">
        <w:t xml:space="preserve">; zustimmend </w:t>
      </w:r>
      <w:r w:rsidRPr="00986685">
        <w:rPr>
          <w:i/>
        </w:rPr>
        <w:t>Gamper</w:t>
      </w:r>
      <w:r w:rsidRPr="00966E13">
        <w:t xml:space="preserve">, </w:t>
      </w:r>
      <w:r>
        <w:t>zfhr 2016, 105 f;</w:t>
      </w:r>
      <w:r w:rsidRPr="00966E13">
        <w:t xml:space="preserve"> aA </w:t>
      </w:r>
      <w:r w:rsidRPr="00986685">
        <w:rPr>
          <w:i/>
        </w:rPr>
        <w:t>Perle</w:t>
      </w:r>
      <w:r w:rsidRPr="00966E13">
        <w:t xml:space="preserve">, </w:t>
      </w:r>
      <w:r>
        <w:t xml:space="preserve">zfhr 2016, 147 f; BMWFW 2. </w:t>
      </w:r>
      <w:r w:rsidRPr="00986685">
        <w:t>12.</w:t>
      </w:r>
      <w:r>
        <w:t xml:space="preserve"> </w:t>
      </w:r>
      <w:r w:rsidRPr="00986685">
        <w:t xml:space="preserve">2016, </w:t>
      </w:r>
      <w:r>
        <w:t xml:space="preserve">GZ </w:t>
      </w:r>
      <w:r w:rsidRPr="00986685">
        <w:t>30.070/0007-WF/Pers/2/2016</w:t>
      </w:r>
      <w:r>
        <w:t xml:space="preserve">, </w:t>
      </w:r>
      <w:r>
        <w:rPr>
          <w:lang w:val="de-DE"/>
        </w:rPr>
        <w:t>ergangen an die Universität für Bodenkultur, nicht veröffentlicht</w:t>
      </w:r>
      <w:r w:rsidRPr="00986685">
        <w:t>.</w:t>
      </w:r>
    </w:p>
  </w:footnote>
  <w:footnote w:id="49">
    <w:p w14:paraId="2554BA98" w14:textId="385CD1C7" w:rsidR="00DD49DC" w:rsidRPr="00986685" w:rsidRDefault="00DD49DC">
      <w:pPr>
        <w:pStyle w:val="Funotentext"/>
      </w:pPr>
      <w:r>
        <w:rPr>
          <w:rStyle w:val="Funotenzeichen"/>
        </w:rPr>
        <w:footnoteRef/>
      </w:r>
      <w:r w:rsidRPr="00986685">
        <w:t xml:space="preserve"> </w:t>
      </w:r>
      <w:r w:rsidRPr="00986685">
        <w:rPr>
          <w:i/>
        </w:rPr>
        <w:t>Gamper</w:t>
      </w:r>
      <w:r w:rsidRPr="00986685">
        <w:t>, zfhr 2016</w:t>
      </w:r>
      <w:r>
        <w:t>, 105 f</w:t>
      </w:r>
      <w:r w:rsidR="00EE45A4">
        <w:t xml:space="preserve">; </w:t>
      </w:r>
      <w:r w:rsidR="00EE45A4" w:rsidRPr="001C7F52">
        <w:rPr>
          <w:i/>
        </w:rPr>
        <w:t>dieselbe</w:t>
      </w:r>
      <w:r w:rsidR="00EE45A4">
        <w:t xml:space="preserve"> in diesem Heft.</w:t>
      </w:r>
    </w:p>
  </w:footnote>
  <w:footnote w:id="50">
    <w:p w14:paraId="2554BA99" w14:textId="213E5054" w:rsidR="00DD49DC" w:rsidRPr="00986685" w:rsidRDefault="00DD49DC">
      <w:pPr>
        <w:pStyle w:val="Funotentext"/>
      </w:pPr>
      <w:r>
        <w:rPr>
          <w:rStyle w:val="Funotenzeichen"/>
        </w:rPr>
        <w:footnoteRef/>
      </w:r>
      <w:r w:rsidRPr="00986685">
        <w:t xml:space="preserve"> </w:t>
      </w:r>
      <w:r w:rsidRPr="00986685">
        <w:rPr>
          <w:i/>
        </w:rPr>
        <w:t>Perle</w:t>
      </w:r>
      <w:r w:rsidRPr="00BB0A80">
        <w:t>, zfhr 2016</w:t>
      </w:r>
      <w:r>
        <w:t>, 147 f.</w:t>
      </w:r>
    </w:p>
  </w:footnote>
  <w:footnote w:id="51">
    <w:p w14:paraId="2554BA9A" w14:textId="18BB7E72" w:rsidR="00DD49DC" w:rsidRPr="00986685" w:rsidRDefault="00DD49DC">
      <w:pPr>
        <w:pStyle w:val="Funotentext"/>
      </w:pPr>
      <w:r>
        <w:rPr>
          <w:rStyle w:val="Funotenzeichen"/>
        </w:rPr>
        <w:footnoteRef/>
      </w:r>
      <w:r w:rsidRPr="00986685">
        <w:t xml:space="preserve"> </w:t>
      </w:r>
      <w:r w:rsidRPr="00986685">
        <w:rPr>
          <w:i/>
        </w:rPr>
        <w:t>Perle</w:t>
      </w:r>
      <w:r w:rsidRPr="00986685">
        <w:t xml:space="preserve">, </w:t>
      </w:r>
      <w:r>
        <w:t>zfhr 2016, 148</w:t>
      </w:r>
      <w:r w:rsidRPr="00986685">
        <w:t>; wortident BMWFW 2.</w:t>
      </w:r>
      <w:r>
        <w:t xml:space="preserve"> </w:t>
      </w:r>
      <w:r w:rsidRPr="00986685">
        <w:t>12.</w:t>
      </w:r>
      <w:r>
        <w:t xml:space="preserve"> </w:t>
      </w:r>
      <w:r w:rsidRPr="00986685">
        <w:t xml:space="preserve">2016, </w:t>
      </w:r>
      <w:r>
        <w:t xml:space="preserve">GZ </w:t>
      </w:r>
      <w:r w:rsidRPr="00986685">
        <w:t>30.070/0007-WF/Pers/2/2016.</w:t>
      </w:r>
    </w:p>
  </w:footnote>
  <w:footnote w:id="52">
    <w:p w14:paraId="2554BA9B" w14:textId="6BEEA2E5" w:rsidR="00DD49DC" w:rsidRPr="00A743D2" w:rsidRDefault="00DD49DC">
      <w:pPr>
        <w:pStyle w:val="Funotentext"/>
      </w:pPr>
      <w:r>
        <w:rPr>
          <w:rStyle w:val="Funotenzeichen"/>
        </w:rPr>
        <w:footnoteRef/>
      </w:r>
      <w:r w:rsidRPr="00A743D2">
        <w:t xml:space="preserve"> </w:t>
      </w:r>
      <w:r w:rsidRPr="00986685">
        <w:rPr>
          <w:i/>
        </w:rPr>
        <w:t>Perle</w:t>
      </w:r>
      <w:r w:rsidRPr="00A743D2">
        <w:t xml:space="preserve">, </w:t>
      </w:r>
      <w:r>
        <w:t>zfhr 2016, 148.</w:t>
      </w:r>
    </w:p>
  </w:footnote>
  <w:footnote w:id="53">
    <w:p w14:paraId="2554BA9C" w14:textId="256F0310" w:rsidR="00DD49DC" w:rsidRPr="00986685" w:rsidRDefault="00DD49DC">
      <w:pPr>
        <w:pStyle w:val="Funotentext"/>
      </w:pPr>
      <w:r>
        <w:rPr>
          <w:rStyle w:val="Funotenzeichen"/>
        </w:rPr>
        <w:footnoteRef/>
      </w:r>
      <w:r w:rsidRPr="002D0882">
        <w:t xml:space="preserve"> </w:t>
      </w:r>
      <w:r w:rsidRPr="00FB561F">
        <w:rPr>
          <w:i/>
          <w:iCs/>
        </w:rPr>
        <w:t>Kucsko-Stadlmayer</w:t>
      </w:r>
      <w:r w:rsidRPr="0018240A">
        <w:t xml:space="preserve"> in </w:t>
      </w:r>
      <w:r w:rsidRPr="003555F4">
        <w:rPr>
          <w:i/>
          <w:iCs/>
        </w:rPr>
        <w:t>Perthold-Stoitzner</w:t>
      </w:r>
      <w:r w:rsidRPr="00075990">
        <w:t>, UG</w:t>
      </w:r>
      <w:r w:rsidRPr="00075990">
        <w:rPr>
          <w:vertAlign w:val="superscript"/>
        </w:rPr>
        <w:t>3</w:t>
      </w:r>
      <w:r w:rsidRPr="002D0882">
        <w:t xml:space="preserve"> § 99</w:t>
      </w:r>
      <w:r w:rsidRPr="00986685">
        <w:t xml:space="preserve"> Rz 20</w:t>
      </w:r>
      <w:r w:rsidRPr="002D0882">
        <w:t xml:space="preserve"> (Stand 1.10.2016, rdb.at)</w:t>
      </w:r>
      <w:r w:rsidRPr="00986685">
        <w:t>.</w:t>
      </w:r>
    </w:p>
  </w:footnote>
  <w:footnote w:id="54">
    <w:p w14:paraId="5F161FAD" w14:textId="4D22D296" w:rsidR="00DD49DC" w:rsidRPr="00563E79" w:rsidRDefault="00DD49DC">
      <w:pPr>
        <w:pStyle w:val="Funotentext"/>
      </w:pPr>
      <w:r>
        <w:rPr>
          <w:rStyle w:val="Funotenzeichen"/>
        </w:rPr>
        <w:footnoteRef/>
      </w:r>
      <w:r>
        <w:t xml:space="preserve"> Vgl zu möglichen verfassungsrechtlichen Vorgaben der Partizipation von Fachvertreter/inne/n bei der Berufung von Universitätsprofessor/inn/en </w:t>
      </w:r>
      <w:r w:rsidRPr="00986685">
        <w:rPr>
          <w:i/>
        </w:rPr>
        <w:t>Berka</w:t>
      </w:r>
      <w:r>
        <w:t xml:space="preserve">, Die Berufung ins Professorenamt, in: Jabloner (Hrsg) FS für Mayer (2011) 25 (38). </w:t>
      </w:r>
    </w:p>
  </w:footnote>
  <w:footnote w:id="55">
    <w:p w14:paraId="2554BA9D" w14:textId="77777777" w:rsidR="00DD49DC" w:rsidRPr="008F0B83" w:rsidRDefault="00DD49DC">
      <w:pPr>
        <w:pStyle w:val="Funotentext"/>
        <w:rPr>
          <w:lang w:val="de-DE"/>
        </w:rPr>
      </w:pPr>
      <w:r>
        <w:rPr>
          <w:rStyle w:val="Funotenzeichen"/>
        </w:rPr>
        <w:footnoteRef/>
      </w:r>
      <w:r>
        <w:t xml:space="preserve"> </w:t>
      </w:r>
      <w:r>
        <w:rPr>
          <w:lang w:val="de-DE"/>
        </w:rPr>
        <w:t xml:space="preserve">Darauf weist auch </w:t>
      </w:r>
      <w:r w:rsidRPr="00986685">
        <w:rPr>
          <w:i/>
          <w:lang w:val="de-DE"/>
        </w:rPr>
        <w:t>Gamper</w:t>
      </w:r>
      <w:r>
        <w:rPr>
          <w:lang w:val="de-DE"/>
        </w:rPr>
        <w:t>, zfhr 2016, 104 hin.</w:t>
      </w:r>
    </w:p>
  </w:footnote>
  <w:footnote w:id="56">
    <w:p w14:paraId="2554BA9E" w14:textId="5BE88D5E" w:rsidR="00DD49DC" w:rsidRPr="00B648E7" w:rsidRDefault="00DD49DC">
      <w:pPr>
        <w:pStyle w:val="Funotentext"/>
        <w:rPr>
          <w:lang w:val="de-DE"/>
        </w:rPr>
      </w:pPr>
      <w:r>
        <w:rPr>
          <w:rStyle w:val="Funotenzeichen"/>
        </w:rPr>
        <w:footnoteRef/>
      </w:r>
      <w:r w:rsidRPr="00B648E7">
        <w:rPr>
          <w:i/>
          <w:iCs/>
          <w:lang w:val="de-DE"/>
        </w:rPr>
        <w:t xml:space="preserve"> Kucsko-Stadlmayer</w:t>
      </w:r>
      <w:r w:rsidRPr="00B648E7">
        <w:rPr>
          <w:lang w:val="de-DE"/>
        </w:rPr>
        <w:t xml:space="preserve"> in </w:t>
      </w:r>
      <w:r w:rsidRPr="00B648E7">
        <w:rPr>
          <w:i/>
          <w:iCs/>
          <w:lang w:val="de-DE"/>
        </w:rPr>
        <w:t>Perthold-Stoitzner</w:t>
      </w:r>
      <w:r w:rsidRPr="00B648E7">
        <w:rPr>
          <w:lang w:val="de-DE"/>
        </w:rPr>
        <w:t>, UG</w:t>
      </w:r>
      <w:r w:rsidRPr="00B648E7">
        <w:rPr>
          <w:vertAlign w:val="superscript"/>
          <w:lang w:val="de-DE"/>
        </w:rPr>
        <w:t>3</w:t>
      </w:r>
      <w:r w:rsidRPr="00B648E7">
        <w:rPr>
          <w:lang w:val="de-DE"/>
        </w:rPr>
        <w:t xml:space="preserve"> § 99 Rz 22 (Stand 1.10.2016, rdb.at); aA </w:t>
      </w:r>
      <w:r w:rsidRPr="00B648E7">
        <w:rPr>
          <w:i/>
          <w:lang w:val="de-DE"/>
        </w:rPr>
        <w:t>Gamper</w:t>
      </w:r>
      <w:r w:rsidRPr="00B648E7">
        <w:rPr>
          <w:lang w:val="de-DE"/>
        </w:rPr>
        <w:t>, zfhr 2016, 107</w:t>
      </w:r>
      <w:r w:rsidR="00EE45A4">
        <w:rPr>
          <w:lang w:val="de-DE"/>
        </w:rPr>
        <w:t xml:space="preserve">; </w:t>
      </w:r>
      <w:r w:rsidR="001C70FE">
        <w:rPr>
          <w:lang w:val="de-DE"/>
        </w:rPr>
        <w:t xml:space="preserve">aber zustimmend zu einem „Panel“ der fachzuständigen Universitätsprofessor/inn/en </w:t>
      </w:r>
      <w:r w:rsidR="00EE45A4" w:rsidRPr="001C7F52">
        <w:rPr>
          <w:i/>
          <w:lang w:val="de-DE"/>
        </w:rPr>
        <w:t>dieselbe</w:t>
      </w:r>
      <w:r w:rsidR="00EE45A4">
        <w:rPr>
          <w:lang w:val="de-DE"/>
        </w:rPr>
        <w:t xml:space="preserve"> in diesem Heft.</w:t>
      </w:r>
    </w:p>
  </w:footnote>
  <w:footnote w:id="57">
    <w:p w14:paraId="2554BA9F" w14:textId="03843355" w:rsidR="00DD49DC" w:rsidRPr="002007F5" w:rsidRDefault="00DD49DC">
      <w:pPr>
        <w:pStyle w:val="Funotentext"/>
        <w:rPr>
          <w:lang w:val="de-DE"/>
        </w:rPr>
      </w:pPr>
      <w:r>
        <w:rPr>
          <w:rStyle w:val="Funotenzeichen"/>
        </w:rPr>
        <w:footnoteRef/>
      </w:r>
      <w:r>
        <w:t xml:space="preserve"> </w:t>
      </w:r>
      <w:r>
        <w:rPr>
          <w:lang w:val="de-DE"/>
        </w:rPr>
        <w:t xml:space="preserve">AA </w:t>
      </w:r>
      <w:r w:rsidRPr="00986685">
        <w:rPr>
          <w:i/>
          <w:lang w:val="de-DE"/>
        </w:rPr>
        <w:t>Gamper</w:t>
      </w:r>
      <w:r>
        <w:rPr>
          <w:lang w:val="de-DE"/>
        </w:rPr>
        <w:t xml:space="preserve">, </w:t>
      </w:r>
      <w:r>
        <w:t>zfhr 2016, 107</w:t>
      </w:r>
      <w:r w:rsidR="00A30B94">
        <w:t xml:space="preserve">; ebenso </w:t>
      </w:r>
      <w:r w:rsidR="00A30B94" w:rsidRPr="006078EA">
        <w:rPr>
          <w:i/>
          <w:lang w:val="de-DE"/>
        </w:rPr>
        <w:t>dieselbe</w:t>
      </w:r>
      <w:r w:rsidR="00A30B94">
        <w:rPr>
          <w:lang w:val="de-DE"/>
        </w:rPr>
        <w:t xml:space="preserve"> in diesem Heft.</w:t>
      </w:r>
    </w:p>
  </w:footnote>
  <w:footnote w:id="58">
    <w:p w14:paraId="2554BAA0" w14:textId="1E0BD12E" w:rsidR="00DD49DC" w:rsidRPr="00FE1D4D" w:rsidRDefault="00DD49DC">
      <w:pPr>
        <w:pStyle w:val="Funotentext"/>
        <w:rPr>
          <w:lang w:val="de-DE"/>
        </w:rPr>
      </w:pPr>
      <w:r>
        <w:rPr>
          <w:rStyle w:val="Funotenzeichen"/>
        </w:rPr>
        <w:footnoteRef/>
      </w:r>
      <w:r>
        <w:t xml:space="preserve"> </w:t>
      </w:r>
      <w:r>
        <w:rPr>
          <w:lang w:val="de-DE"/>
        </w:rPr>
        <w:t xml:space="preserve">Zutreffend </w:t>
      </w:r>
      <w:r w:rsidRPr="00986685">
        <w:rPr>
          <w:i/>
          <w:lang w:val="de-DE"/>
        </w:rPr>
        <w:t>Perle</w:t>
      </w:r>
      <w:r>
        <w:rPr>
          <w:lang w:val="de-DE"/>
        </w:rPr>
        <w:t xml:space="preserve">, </w:t>
      </w:r>
      <w:r>
        <w:t>zfhr 2016, 148</w:t>
      </w:r>
      <w:r>
        <w:rPr>
          <w:lang w:val="de-DE"/>
        </w:rPr>
        <w:t xml:space="preserve">; aA </w:t>
      </w:r>
      <w:r w:rsidRPr="00986685">
        <w:rPr>
          <w:i/>
          <w:lang w:val="de-DE"/>
        </w:rPr>
        <w:t>Gamper</w:t>
      </w:r>
      <w:r>
        <w:rPr>
          <w:lang w:val="de-DE"/>
        </w:rPr>
        <w:t xml:space="preserve">, </w:t>
      </w:r>
      <w:r>
        <w:t>zfhr 2016, 107</w:t>
      </w:r>
      <w:r w:rsidR="001C70FE">
        <w:t xml:space="preserve">; ebenso </w:t>
      </w:r>
      <w:r w:rsidR="001C70FE" w:rsidRPr="006078EA">
        <w:rPr>
          <w:i/>
          <w:lang w:val="de-DE"/>
        </w:rPr>
        <w:t>dieselbe</w:t>
      </w:r>
      <w:r w:rsidR="001C70FE">
        <w:rPr>
          <w:lang w:val="de-DE"/>
        </w:rPr>
        <w:t xml:space="preserve"> in diesem Heft.</w:t>
      </w:r>
      <w:r w:rsidR="00D87528">
        <w:rPr>
          <w:lang w:val="de-DE"/>
        </w:rPr>
        <w:t xml:space="preserve"> – </w:t>
      </w:r>
      <w:r w:rsidR="00A17C9B">
        <w:rPr>
          <w:lang w:val="de-DE"/>
        </w:rPr>
        <w:t>N</w:t>
      </w:r>
      <w:r w:rsidR="00F672F3">
        <w:rPr>
          <w:lang w:val="de-DE"/>
        </w:rPr>
        <w:t xml:space="preserve">ach </w:t>
      </w:r>
      <w:r w:rsidR="00F672F3" w:rsidRPr="00A17C9B">
        <w:rPr>
          <w:i/>
          <w:lang w:val="de-DE"/>
        </w:rPr>
        <w:t>Gamper</w:t>
      </w:r>
      <w:r w:rsidR="00F672F3">
        <w:rPr>
          <w:lang w:val="de-DE"/>
        </w:rPr>
        <w:t xml:space="preserve"> hat die in § 99 Abs 4 UG verfügte Nichtanwendbarkeit des § 98 Abs 1 bis 8 UG zwingend zur Folge, dass sich die maßgebenden Organe der Universität in Verfahren nach § 99 Abs 4 UG keiner der in § 98 Abs 1 bis 8 UG vorgesehenen Verfahrensschritte bedienen </w:t>
      </w:r>
      <w:r w:rsidR="00C47F17">
        <w:rPr>
          <w:lang w:val="de-DE"/>
        </w:rPr>
        <w:t>dürfen</w:t>
      </w:r>
      <w:r w:rsidR="00F672F3">
        <w:rPr>
          <w:lang w:val="de-DE"/>
        </w:rPr>
        <w:t xml:space="preserve">. UE liegt es aber näher, den Sinn der Nichtanwendbarkeit des § 98 Abs 1 bis 8 UG darin zu sehen, </w:t>
      </w:r>
      <w:r w:rsidR="00AC1FA9">
        <w:rPr>
          <w:lang w:val="de-DE"/>
        </w:rPr>
        <w:t xml:space="preserve">dass die in § 98 UG beschriebenen Regelungen eben </w:t>
      </w:r>
      <w:r w:rsidR="00C47F17">
        <w:rPr>
          <w:lang w:val="de-DE"/>
        </w:rPr>
        <w:t xml:space="preserve">in Fällen des § 99 Abs 4 UG </w:t>
      </w:r>
      <w:r w:rsidR="00AC1FA9">
        <w:rPr>
          <w:lang w:val="de-DE"/>
        </w:rPr>
        <w:t xml:space="preserve">bloß nicht </w:t>
      </w:r>
      <w:r w:rsidR="00AC1FA9" w:rsidRPr="00A17C9B">
        <w:rPr>
          <w:i/>
          <w:lang w:val="de-DE"/>
        </w:rPr>
        <w:t>verpflichtend</w:t>
      </w:r>
      <w:r w:rsidR="00AC1FA9">
        <w:rPr>
          <w:lang w:val="de-DE"/>
        </w:rPr>
        <w:t xml:space="preserve"> anzuwenden sind. Dies schließt es aber nicht aus, dass einzelne Elemente des in § 98 UG dargelegten Verfahrens auch für Zwecke des § 99 Abs 4 UG herangezogen werden, eben ohne gesetzliche Verpflichtung dazu. </w:t>
      </w:r>
      <w:r w:rsidR="00C47F17">
        <w:rPr>
          <w:lang w:val="de-DE"/>
        </w:rPr>
        <w:t xml:space="preserve">Die Organe der Universität wenden dann nicht § 98 Abs 1 bis 8 UG an, sondern beispielsweise inhaltlich teilweise übereinstimmende Bestimmungen der Satzung. </w:t>
      </w:r>
      <w:r w:rsidR="00AC1FA9">
        <w:rPr>
          <w:lang w:val="de-DE"/>
        </w:rPr>
        <w:t>Der Wortlaut des § 99 Abs 4 UG trägt dieses Verständnis</w:t>
      </w:r>
      <w:r w:rsidR="00F672F3">
        <w:rPr>
          <w:lang w:val="de-DE"/>
        </w:rPr>
        <w:t xml:space="preserve">, und es wäre nicht einzusehen, dass bei Anwendung des § 99 Abs 4 UG zwar neue Verfahrensschritte entwickelt werden können, gerade aber auf die in Fällen des § 98 UG bereits erprobten Verfahrensschritte nicht zurückgegriffen werden </w:t>
      </w:r>
      <w:r w:rsidR="00F672F3" w:rsidRPr="00A17C9B">
        <w:rPr>
          <w:i/>
          <w:lang w:val="de-DE"/>
        </w:rPr>
        <w:t>darf</w:t>
      </w:r>
      <w:r w:rsidR="00A17C9B">
        <w:rPr>
          <w:i/>
          <w:lang w:val="de-DE"/>
        </w:rPr>
        <w:t>.</w:t>
      </w:r>
      <w:r w:rsidR="00C47F17">
        <w:t xml:space="preserve"> Auch </w:t>
      </w:r>
      <w:r w:rsidR="00C47F17" w:rsidRPr="00A17C9B">
        <w:rPr>
          <w:i/>
        </w:rPr>
        <w:t>Gamper</w:t>
      </w:r>
      <w:r w:rsidR="00C47F17">
        <w:t xml:space="preserve"> selbst äußert (in diesem Heft) rechtspolitische Kritik an solchen möglichen Konsequenzen, der sich aber uE schon auf dem Boden des geltenden Rechts Rechnung tragen lässt.</w:t>
      </w:r>
    </w:p>
  </w:footnote>
  <w:footnote w:id="59">
    <w:p w14:paraId="2554BAA1" w14:textId="01B1F1BD" w:rsidR="00DD49DC" w:rsidRPr="008C2B6F" w:rsidRDefault="00DD49DC">
      <w:pPr>
        <w:pStyle w:val="Funotentext"/>
      </w:pPr>
      <w:r>
        <w:rPr>
          <w:rStyle w:val="Funotenzeichen"/>
        </w:rPr>
        <w:footnoteRef/>
      </w:r>
      <w:r>
        <w:t xml:space="preserve"> Zutreffend </w:t>
      </w:r>
      <w:r w:rsidRPr="00986685">
        <w:rPr>
          <w:i/>
        </w:rPr>
        <w:t>Perle</w:t>
      </w:r>
      <w:r>
        <w:t>, zfhr 2016, 148</w:t>
      </w:r>
      <w:r w:rsidR="001C70FE">
        <w:t xml:space="preserve">; aA </w:t>
      </w:r>
      <w:r w:rsidR="001C70FE" w:rsidRPr="001C7F52">
        <w:rPr>
          <w:i/>
        </w:rPr>
        <w:t>Gamper</w:t>
      </w:r>
      <w:r w:rsidR="001C70FE">
        <w:t>, in diesem Heft.</w:t>
      </w:r>
    </w:p>
  </w:footnote>
  <w:footnote w:id="60">
    <w:p w14:paraId="6ED5BA64" w14:textId="4DFDE228" w:rsidR="00DD49DC" w:rsidRPr="00EB7058" w:rsidRDefault="00DD49DC">
      <w:pPr>
        <w:pStyle w:val="Funotentext"/>
      </w:pPr>
      <w:r>
        <w:rPr>
          <w:rStyle w:val="Funotenzeichen"/>
        </w:rPr>
        <w:footnoteRef/>
      </w:r>
      <w:r>
        <w:t xml:space="preserve"> Dazu bereits </w:t>
      </w:r>
      <w:r w:rsidRPr="00986685">
        <w:rPr>
          <w:i/>
        </w:rPr>
        <w:t>Lang/Lichtmannegger</w:t>
      </w:r>
      <w:r>
        <w:t>, zfhr 2016, 47.</w:t>
      </w:r>
    </w:p>
  </w:footnote>
  <w:footnote w:id="61">
    <w:p w14:paraId="2554BAA2" w14:textId="1FDA093A" w:rsidR="00DD49DC" w:rsidRPr="007F1F14" w:rsidRDefault="00DD49DC">
      <w:pPr>
        <w:pStyle w:val="Funotentext"/>
        <w:rPr>
          <w:lang w:val="de-DE"/>
        </w:rPr>
      </w:pPr>
      <w:r>
        <w:rPr>
          <w:rStyle w:val="Funotenzeichen"/>
        </w:rPr>
        <w:footnoteRef/>
      </w:r>
      <w:r>
        <w:t xml:space="preserve"> </w:t>
      </w:r>
      <w:r>
        <w:rPr>
          <w:lang w:val="de-DE"/>
        </w:rPr>
        <w:t xml:space="preserve">So </w:t>
      </w:r>
      <w:r>
        <w:rPr>
          <w:i/>
          <w:iCs/>
        </w:rPr>
        <w:t>Kucsko-Stadlmayer</w:t>
      </w:r>
      <w:r>
        <w:t xml:space="preserve"> in </w:t>
      </w:r>
      <w:r>
        <w:rPr>
          <w:i/>
          <w:iCs/>
        </w:rPr>
        <w:t>Perthold-Stoitzner</w:t>
      </w:r>
      <w:r>
        <w:t>, UG</w:t>
      </w:r>
      <w:r>
        <w:rPr>
          <w:vertAlign w:val="superscript"/>
        </w:rPr>
        <w:t>3</w:t>
      </w:r>
      <w:r>
        <w:t xml:space="preserve"> § 98 Rz 31 (Stand 1.10.2016, rdb.at)</w:t>
      </w:r>
      <w:r>
        <w:rPr>
          <w:lang w:val="de-DE"/>
        </w:rPr>
        <w:t>.</w:t>
      </w:r>
    </w:p>
  </w:footnote>
  <w:footnote w:id="62">
    <w:p w14:paraId="2554BAA3" w14:textId="0AA0B0BE" w:rsidR="00DD49DC" w:rsidRPr="007F1F14" w:rsidRDefault="00DD49DC">
      <w:pPr>
        <w:pStyle w:val="Funotentext"/>
        <w:rPr>
          <w:lang w:val="de-DE"/>
        </w:rPr>
      </w:pPr>
      <w:r>
        <w:rPr>
          <w:rStyle w:val="Funotenzeichen"/>
        </w:rPr>
        <w:footnoteRef/>
      </w:r>
      <w:r>
        <w:t xml:space="preserve"> </w:t>
      </w:r>
      <w:r>
        <w:rPr>
          <w:lang w:val="de-DE"/>
        </w:rPr>
        <w:t xml:space="preserve">Zutreffend </w:t>
      </w:r>
      <w:r w:rsidRPr="00986685">
        <w:rPr>
          <w:i/>
          <w:lang w:val="de-DE"/>
        </w:rPr>
        <w:t>Gamper</w:t>
      </w:r>
      <w:r>
        <w:rPr>
          <w:lang w:val="de-DE"/>
        </w:rPr>
        <w:t xml:space="preserve">, </w:t>
      </w:r>
      <w:r>
        <w:t>zfhr 2016, 107.</w:t>
      </w:r>
    </w:p>
  </w:footnote>
  <w:footnote w:id="63">
    <w:p w14:paraId="07B0238C" w14:textId="6EBA774B" w:rsidR="00DD49DC" w:rsidRPr="00205820" w:rsidRDefault="00DD49DC">
      <w:pPr>
        <w:pStyle w:val="Funotentext"/>
      </w:pPr>
      <w:r>
        <w:rPr>
          <w:rStyle w:val="Funotenzeichen"/>
        </w:rPr>
        <w:footnoteRef/>
      </w:r>
      <w:r>
        <w:t xml:space="preserve"> </w:t>
      </w:r>
      <w:r w:rsidRPr="00986685">
        <w:rPr>
          <w:i/>
        </w:rPr>
        <w:t>Gamper</w:t>
      </w:r>
      <w:r>
        <w:t>, zfhr 2016, 106.</w:t>
      </w:r>
    </w:p>
  </w:footnote>
  <w:footnote w:id="64">
    <w:p w14:paraId="2554BAA4" w14:textId="0586D16C" w:rsidR="00DD49DC" w:rsidRPr="008F0B83" w:rsidRDefault="00DD49DC">
      <w:pPr>
        <w:pStyle w:val="Funotentext"/>
        <w:rPr>
          <w:lang w:val="de-DE"/>
        </w:rPr>
      </w:pPr>
      <w:r>
        <w:rPr>
          <w:rStyle w:val="Funotenzeichen"/>
        </w:rPr>
        <w:footnoteRef/>
      </w:r>
      <w:r>
        <w:t xml:space="preserve"> </w:t>
      </w:r>
      <w:r>
        <w:rPr>
          <w:lang w:val="de-DE"/>
        </w:rPr>
        <w:t xml:space="preserve">Das BMWFW geht in seiner Rechtsauskunft vom 2. 12. 2016, </w:t>
      </w:r>
      <w:r>
        <w:t xml:space="preserve">GZ 30.070/0007-WF/Pers/2/2016, offenbar davon aus, dass es nicht bloß unschädlich ist, wenn die Satzung auch die gesetzlichen Vorgaben wiederholt, sondern dass in der Satzung „sämtliche Schritte des Verfahrens“ zu regeln sind, die in „§ 99 Abs 4 UG definierten gesetzlichen Vorgaben […] dabei zu berücksichtigen bzw in die Bestimmungen über das vereinfachte Verfahren aufzunehmen“ sind.   </w:t>
      </w:r>
    </w:p>
  </w:footnote>
  <w:footnote w:id="65">
    <w:p w14:paraId="7239247A" w14:textId="7E42F17D" w:rsidR="00DD49DC" w:rsidRPr="00986685" w:rsidRDefault="00DD49DC">
      <w:pPr>
        <w:pStyle w:val="Funotentext"/>
        <w:rPr>
          <w:lang w:val="de-DE"/>
        </w:rPr>
      </w:pPr>
      <w:r>
        <w:rPr>
          <w:rStyle w:val="Funotenzeichen"/>
        </w:rPr>
        <w:footnoteRef/>
      </w:r>
      <w:r>
        <w:t xml:space="preserve"> </w:t>
      </w:r>
      <w:r w:rsidRPr="00986685">
        <w:rPr>
          <w:i/>
        </w:rPr>
        <w:t>Perle</w:t>
      </w:r>
      <w:r>
        <w:t>, zfhr, 147.</w:t>
      </w:r>
    </w:p>
  </w:footnote>
  <w:footnote w:id="66">
    <w:p w14:paraId="2554BAA6" w14:textId="201CD2A2" w:rsidR="00DD49DC" w:rsidRPr="00DC02F5" w:rsidRDefault="00DD49DC">
      <w:pPr>
        <w:pStyle w:val="Funotentext"/>
      </w:pPr>
      <w:r>
        <w:rPr>
          <w:rStyle w:val="Funotenzeichen"/>
        </w:rPr>
        <w:footnoteRef/>
      </w:r>
      <w:r>
        <w:t xml:space="preserve"> </w:t>
      </w:r>
      <w:r w:rsidRPr="00986685">
        <w:rPr>
          <w:i/>
        </w:rPr>
        <w:t>Perle</w:t>
      </w:r>
      <w:r>
        <w:t>, zfhr 2016, 148.</w:t>
      </w:r>
    </w:p>
  </w:footnote>
  <w:footnote w:id="67">
    <w:p w14:paraId="2554BAA7" w14:textId="46649944" w:rsidR="00DD49DC" w:rsidRPr="00F32992" w:rsidRDefault="00DD49DC">
      <w:pPr>
        <w:pStyle w:val="Funotentext"/>
        <w:rPr>
          <w:lang w:val="de-DE"/>
        </w:rPr>
      </w:pPr>
      <w:r>
        <w:rPr>
          <w:rStyle w:val="Funotenzeichen"/>
        </w:rPr>
        <w:footnoteRef/>
      </w:r>
      <w:r>
        <w:t xml:space="preserve"> So bereits </w:t>
      </w:r>
      <w:r w:rsidRPr="009978E1">
        <w:rPr>
          <w:i/>
          <w:lang w:val="de-DE"/>
        </w:rPr>
        <w:t>Lang/Feucht</w:t>
      </w:r>
      <w:r>
        <w:rPr>
          <w:lang w:val="de-DE"/>
        </w:rPr>
        <w:t xml:space="preserve">, Die Regelung der Habilitation durch die Satzung, zfhr 2004, 51 (52 f); </w:t>
      </w:r>
      <w:r w:rsidRPr="009978E1">
        <w:rPr>
          <w:i/>
          <w:lang w:val="de-DE"/>
        </w:rPr>
        <w:t>Gamper</w:t>
      </w:r>
      <w:r>
        <w:rPr>
          <w:lang w:val="de-DE"/>
        </w:rPr>
        <w:t>, Was ist die Satzung der Universität?, zfhr 2012, 107 (114)</w:t>
      </w:r>
      <w:r w:rsidR="001C70FE">
        <w:rPr>
          <w:lang w:val="de-DE"/>
        </w:rPr>
        <w:t xml:space="preserve">; </w:t>
      </w:r>
      <w:r w:rsidR="001C70FE" w:rsidRPr="006078EA">
        <w:rPr>
          <w:i/>
          <w:lang w:val="de-DE"/>
        </w:rPr>
        <w:t>dieselbe</w:t>
      </w:r>
      <w:r w:rsidR="001C70FE">
        <w:rPr>
          <w:lang w:val="de-DE"/>
        </w:rPr>
        <w:t xml:space="preserve"> in diesem Heft.</w:t>
      </w:r>
    </w:p>
  </w:footnote>
  <w:footnote w:id="68">
    <w:p w14:paraId="2554BAA8" w14:textId="0CC965C0" w:rsidR="00DD49DC" w:rsidRPr="00F32992" w:rsidRDefault="00DD49DC">
      <w:pPr>
        <w:pStyle w:val="Funotentext"/>
        <w:rPr>
          <w:lang w:val="de-DE"/>
        </w:rPr>
      </w:pPr>
      <w:r>
        <w:rPr>
          <w:rStyle w:val="Funotenzeichen"/>
        </w:rPr>
        <w:footnoteRef/>
      </w:r>
      <w:r>
        <w:t xml:space="preserve"> </w:t>
      </w:r>
      <w:r>
        <w:rPr>
          <w:lang w:val="de-DE"/>
        </w:rPr>
        <w:t xml:space="preserve">Dazu ausführlich </w:t>
      </w:r>
      <w:r w:rsidRPr="00986685">
        <w:rPr>
          <w:i/>
          <w:lang w:val="de-DE"/>
        </w:rPr>
        <w:t>Lang</w:t>
      </w:r>
      <w:r>
        <w:rPr>
          <w:lang w:val="de-DE"/>
        </w:rPr>
        <w:t>,</w:t>
      </w:r>
      <w:r w:rsidRPr="00A4628F">
        <w:rPr>
          <w:lang w:val="de-DE"/>
        </w:rPr>
        <w:t xml:space="preserve"> </w:t>
      </w:r>
      <w:r>
        <w:rPr>
          <w:lang w:val="de-DE"/>
        </w:rPr>
        <w:t xml:space="preserve">Die Zuständigkeit der Länder und Gemeinden zur Erlassung allgemeiner Bestimmungen auf dem Gebiet des Abgabenrechts und von Abgabenverfahrensregelungen, </w:t>
      </w:r>
      <w:r w:rsidRPr="00A4628F">
        <w:rPr>
          <w:lang w:val="de-DE"/>
        </w:rPr>
        <w:t>JRP 2012, 338 (343)</w:t>
      </w:r>
      <w:r>
        <w:rPr>
          <w:lang w:val="de-DE"/>
        </w:rPr>
        <w:t>.</w:t>
      </w:r>
    </w:p>
  </w:footnote>
  <w:footnote w:id="69">
    <w:p w14:paraId="1924AA29" w14:textId="25512283" w:rsidR="00DD49DC" w:rsidRPr="00797B8E" w:rsidRDefault="00DD49DC">
      <w:pPr>
        <w:pStyle w:val="Funotentext"/>
      </w:pPr>
      <w:r>
        <w:rPr>
          <w:rStyle w:val="Funotenzeichen"/>
        </w:rPr>
        <w:footnoteRef/>
      </w:r>
      <w:r>
        <w:t xml:space="preserve"> </w:t>
      </w:r>
      <w:r w:rsidRPr="00986685">
        <w:rPr>
          <w:i/>
        </w:rPr>
        <w:t>Perle</w:t>
      </w:r>
      <w:r>
        <w:t>, zfhr 2016, 147 f.</w:t>
      </w:r>
    </w:p>
  </w:footnote>
  <w:footnote w:id="70">
    <w:p w14:paraId="729D14BF" w14:textId="34A5B210" w:rsidR="00DD49DC" w:rsidRPr="00797B8E" w:rsidRDefault="00DD49DC">
      <w:pPr>
        <w:pStyle w:val="Funotentext"/>
      </w:pPr>
      <w:r>
        <w:rPr>
          <w:rStyle w:val="Funotenzeichen"/>
        </w:rPr>
        <w:footnoteRef/>
      </w:r>
      <w:r>
        <w:t xml:space="preserve"> </w:t>
      </w:r>
      <w:r w:rsidRPr="00986685">
        <w:rPr>
          <w:i/>
        </w:rPr>
        <w:t>Lang/Lichtmannegger</w:t>
      </w:r>
      <w:r>
        <w:t>, zfhr 2016, 47.</w:t>
      </w:r>
    </w:p>
  </w:footnote>
  <w:footnote w:id="71">
    <w:p w14:paraId="2554BAAA" w14:textId="2BDA19D9" w:rsidR="00DD49DC" w:rsidRPr="00E875F4" w:rsidRDefault="00DD49DC">
      <w:pPr>
        <w:pStyle w:val="Funotentext"/>
      </w:pPr>
      <w:r>
        <w:rPr>
          <w:rStyle w:val="Funotenzeichen"/>
        </w:rPr>
        <w:footnoteRef/>
      </w:r>
      <w:r>
        <w:t xml:space="preserve"> </w:t>
      </w:r>
      <w:r w:rsidRPr="00986685">
        <w:rPr>
          <w:i/>
        </w:rPr>
        <w:t>Perle</w:t>
      </w:r>
      <w:r>
        <w:t>, zfhr 2016, 148.</w:t>
      </w:r>
    </w:p>
  </w:footnote>
  <w:footnote w:id="72">
    <w:p w14:paraId="27359826" w14:textId="1E63CC00" w:rsidR="00DD49DC" w:rsidRPr="00986685" w:rsidRDefault="00DD49DC" w:rsidP="00986685">
      <w:pPr>
        <w:pStyle w:val="Funotentext"/>
      </w:pPr>
      <w:r>
        <w:rPr>
          <w:rStyle w:val="Funotenzeichen"/>
        </w:rPr>
        <w:footnoteRef/>
      </w:r>
      <w:r>
        <w:t xml:space="preserve"> </w:t>
      </w:r>
      <w:r>
        <w:rPr>
          <w:lang w:val="de-DE"/>
        </w:rPr>
        <w:t xml:space="preserve">Zum Annexcharakter des Verfahrensrechts vgl </w:t>
      </w:r>
      <w:r w:rsidRPr="00986685">
        <w:rPr>
          <w:i/>
          <w:lang w:val="de-DE"/>
        </w:rPr>
        <w:t>Lang</w:t>
      </w:r>
      <w:r>
        <w:rPr>
          <w:lang w:val="de-DE"/>
        </w:rPr>
        <w:t xml:space="preserve">, </w:t>
      </w:r>
      <w:r w:rsidRPr="00986685">
        <w:t>Die Kompetenzen von Bund, Ländern und</w:t>
      </w:r>
      <w:r w:rsidRPr="00FB561F">
        <w:t xml:space="preserve"> Gemeinden bei der Regelung der</w:t>
      </w:r>
      <w:r>
        <w:t xml:space="preserve"> </w:t>
      </w:r>
      <w:r w:rsidRPr="00986685">
        <w:t>Gemeindeabgaben aufgrund freien Beschlussrechts nach § 7 Abs 5 und § 8 Abs 5</w:t>
      </w:r>
    </w:p>
    <w:p w14:paraId="2554BAAB" w14:textId="50C9B956" w:rsidR="00DD49DC" w:rsidRPr="00343DA3" w:rsidRDefault="00DD49DC" w:rsidP="00FB561F">
      <w:pPr>
        <w:pStyle w:val="Funotentext"/>
        <w:rPr>
          <w:lang w:val="de-DE"/>
        </w:rPr>
      </w:pPr>
      <w:r w:rsidRPr="00986685">
        <w:t>F-VG)</w:t>
      </w:r>
      <w:r>
        <w:t>,</w:t>
      </w:r>
      <w:r w:rsidRPr="00986685">
        <w:t xml:space="preserve"> </w:t>
      </w:r>
      <w:r>
        <w:rPr>
          <w:lang w:val="de-DE"/>
        </w:rPr>
        <w:t>ZfV 2005, 175 (179).</w:t>
      </w:r>
    </w:p>
  </w:footnote>
  <w:footnote w:id="73">
    <w:p w14:paraId="39406C9A" w14:textId="56855B81" w:rsidR="00DD49DC" w:rsidRPr="00B648E7" w:rsidRDefault="00DD49DC">
      <w:pPr>
        <w:pStyle w:val="Funotentext"/>
        <w:rPr>
          <w:lang w:val="de-DE"/>
        </w:rPr>
      </w:pPr>
      <w:r>
        <w:rPr>
          <w:rStyle w:val="Funotenzeichen"/>
        </w:rPr>
        <w:footnoteRef/>
      </w:r>
      <w:r>
        <w:t xml:space="preserve"> </w:t>
      </w:r>
      <w:r w:rsidRPr="00986685">
        <w:rPr>
          <w:i/>
        </w:rPr>
        <w:t>Gamper</w:t>
      </w:r>
      <w:r>
        <w:t>, zfhr 2016, 106.</w:t>
      </w:r>
    </w:p>
  </w:footnote>
  <w:footnote w:id="74">
    <w:p w14:paraId="664E1301" w14:textId="1C58B174" w:rsidR="00DD49DC" w:rsidRPr="00D93CD4" w:rsidRDefault="00DD49DC">
      <w:pPr>
        <w:pStyle w:val="Funotentext"/>
      </w:pPr>
      <w:r>
        <w:rPr>
          <w:rStyle w:val="Funotenzeichen"/>
        </w:rPr>
        <w:footnoteRef/>
      </w:r>
      <w:r>
        <w:t xml:space="preserve"> So schon </w:t>
      </w:r>
      <w:r w:rsidRPr="00B648E7">
        <w:rPr>
          <w:i/>
        </w:rPr>
        <w:t>Lang/Lichtmannegger</w:t>
      </w:r>
      <w:r>
        <w:t xml:space="preserve">, zfhr 2016, 47; im Ergebnis auch </w:t>
      </w:r>
      <w:r w:rsidRPr="00B648E7">
        <w:rPr>
          <w:i/>
        </w:rPr>
        <w:t>Gamper</w:t>
      </w:r>
      <w:r>
        <w:t>, zfhr 2016, 106</w:t>
      </w:r>
      <w:r w:rsidR="00485E07">
        <w:t xml:space="preserve">; ebenso </w:t>
      </w:r>
      <w:r w:rsidR="00485E07" w:rsidRPr="006078EA">
        <w:rPr>
          <w:i/>
          <w:lang w:val="de-DE"/>
        </w:rPr>
        <w:t>dieselbe</w:t>
      </w:r>
      <w:r w:rsidR="00485E07">
        <w:rPr>
          <w:lang w:val="de-DE"/>
        </w:rPr>
        <w:t xml:space="preserve"> in diesem Heft.</w:t>
      </w:r>
    </w:p>
  </w:footnote>
  <w:footnote w:id="75">
    <w:p w14:paraId="05613A23" w14:textId="30C90880" w:rsidR="00DD49DC" w:rsidRPr="00B648E7" w:rsidRDefault="00DD49DC">
      <w:pPr>
        <w:pStyle w:val="Funotentext"/>
        <w:rPr>
          <w:lang w:val="de-DE"/>
        </w:rPr>
      </w:pPr>
      <w:r>
        <w:rPr>
          <w:rStyle w:val="Funotenzeichen"/>
        </w:rPr>
        <w:footnoteRef/>
      </w:r>
      <w:r>
        <w:t xml:space="preserve"> Generell g</w:t>
      </w:r>
      <w:r>
        <w:rPr>
          <w:lang w:val="de-DE"/>
        </w:rPr>
        <w:t xml:space="preserve">egen eine an § 99 Abs 3 UG angelehnte Qualifikationsprüfung </w:t>
      </w:r>
      <w:r w:rsidRPr="00B648E7">
        <w:rPr>
          <w:i/>
          <w:lang w:val="de-DE"/>
        </w:rPr>
        <w:t>Gamper</w:t>
      </w:r>
      <w:r>
        <w:rPr>
          <w:lang w:val="de-DE"/>
        </w:rPr>
        <w:t>, zfhr 2016, 106, und damit wohl auch im Arbeitsvertrag.</w:t>
      </w:r>
    </w:p>
  </w:footnote>
  <w:footnote w:id="76">
    <w:p w14:paraId="2554BAAF" w14:textId="10611E08" w:rsidR="00DD49DC" w:rsidRPr="00E875F4" w:rsidRDefault="00DD49DC">
      <w:pPr>
        <w:pStyle w:val="Funotentext"/>
        <w:rPr>
          <w:lang w:val="de-DE"/>
        </w:rPr>
      </w:pPr>
      <w:r>
        <w:rPr>
          <w:rStyle w:val="Funotenzeichen"/>
        </w:rPr>
        <w:footnoteRef/>
      </w:r>
      <w:r>
        <w:t xml:space="preserve"> </w:t>
      </w:r>
      <w:r w:rsidRPr="00986685">
        <w:rPr>
          <w:i/>
          <w:lang w:val="de-DE"/>
        </w:rPr>
        <w:t>Perle</w:t>
      </w:r>
      <w:r>
        <w:rPr>
          <w:lang w:val="de-DE"/>
        </w:rPr>
        <w:t xml:space="preserve">, </w:t>
      </w:r>
      <w:r>
        <w:t>zfhr 201</w:t>
      </w:r>
      <w:r w:rsidRPr="00B872B1">
        <w:rPr>
          <w:lang w:val="de-DE"/>
        </w:rPr>
        <w:t>6, 148.</w:t>
      </w:r>
    </w:p>
  </w:footnote>
  <w:footnote w:id="77">
    <w:p w14:paraId="6C5A1E7C" w14:textId="20D5D1F1" w:rsidR="00BE76DC" w:rsidRPr="00C97962" w:rsidRDefault="00BE76DC">
      <w:pPr>
        <w:pStyle w:val="Funotentext"/>
      </w:pPr>
      <w:r>
        <w:rPr>
          <w:rStyle w:val="Funotenzeichen"/>
        </w:rPr>
        <w:footnoteRef/>
      </w:r>
      <w:r>
        <w:t xml:space="preserve"> </w:t>
      </w:r>
      <w:r>
        <w:rPr>
          <w:lang w:val="de-DE"/>
        </w:rPr>
        <w:t>So auch</w:t>
      </w:r>
      <w:r>
        <w:rPr>
          <w:i/>
          <w:lang w:val="de-DE"/>
        </w:rPr>
        <w:t xml:space="preserve"> Gamper</w:t>
      </w:r>
      <w:r>
        <w:rPr>
          <w:lang w:val="de-DE"/>
        </w:rPr>
        <w:t xml:space="preserve"> in diesem Heft.</w:t>
      </w:r>
    </w:p>
  </w:footnote>
  <w:footnote w:id="78">
    <w:p w14:paraId="65569B0B" w14:textId="77777777" w:rsidR="00DD49DC" w:rsidRPr="00682C43" w:rsidRDefault="00DD49DC" w:rsidP="00F02D4B">
      <w:pPr>
        <w:pStyle w:val="Funotentext"/>
        <w:rPr>
          <w:lang w:val="de-DE"/>
        </w:rPr>
      </w:pPr>
      <w:r>
        <w:rPr>
          <w:rStyle w:val="Funotenzeichen"/>
        </w:rPr>
        <w:footnoteRef/>
      </w:r>
      <w:r>
        <w:t xml:space="preserve"> </w:t>
      </w:r>
      <w:r w:rsidRPr="00682C43">
        <w:rPr>
          <w:i/>
          <w:lang w:val="de-DE"/>
        </w:rPr>
        <w:t>Perle</w:t>
      </w:r>
      <w:r>
        <w:rPr>
          <w:lang w:val="de-DE"/>
        </w:rPr>
        <w:t>, zfhr 2016, 149 FN 62 erwähnt selbst zB bei Beamt/inn/en die Möglichkeit der Karenzierung nach § 75 BDG im Falle einer Berufung gemäß § 99 Abs 4 UG.</w:t>
      </w:r>
    </w:p>
  </w:footnote>
  <w:footnote w:id="79">
    <w:p w14:paraId="2554BAB0" w14:textId="0DDFA00B" w:rsidR="00DD49DC" w:rsidRPr="00975A2F" w:rsidRDefault="00DD49DC">
      <w:pPr>
        <w:pStyle w:val="Funotentext"/>
        <w:rPr>
          <w:lang w:val="de-DE"/>
        </w:rPr>
      </w:pPr>
      <w:r>
        <w:rPr>
          <w:rStyle w:val="Funotenzeichen"/>
        </w:rPr>
        <w:footnoteRef/>
      </w:r>
      <w:r>
        <w:t xml:space="preserve"> </w:t>
      </w:r>
      <w:r w:rsidRPr="00B872B1">
        <w:rPr>
          <w:lang w:val="de-DE"/>
        </w:rPr>
        <w:t>ErläutRV 797 BlgNR 25. GP 15.</w:t>
      </w:r>
      <w:r w:rsidR="00BE76DC">
        <w:rPr>
          <w:lang w:val="de-DE"/>
        </w:rPr>
        <w:t xml:space="preserve">; zustimmend </w:t>
      </w:r>
      <w:r w:rsidR="00BE76DC" w:rsidRPr="001C7F52">
        <w:rPr>
          <w:i/>
          <w:lang w:val="de-DE"/>
        </w:rPr>
        <w:t>Gamper</w:t>
      </w:r>
      <w:r w:rsidR="00BE76DC">
        <w:rPr>
          <w:lang w:val="de-DE"/>
        </w:rPr>
        <w:t xml:space="preserve"> in diesem Heft.</w:t>
      </w:r>
    </w:p>
  </w:footnote>
  <w:footnote w:id="80">
    <w:p w14:paraId="20C4BC12" w14:textId="0A68EDD8" w:rsidR="00DD49DC" w:rsidRPr="00986685" w:rsidRDefault="00DD49DC">
      <w:pPr>
        <w:pStyle w:val="Funotentext"/>
        <w:rPr>
          <w:lang w:val="de-DE"/>
        </w:rPr>
      </w:pPr>
      <w:r>
        <w:rPr>
          <w:rStyle w:val="Funotenzeichen"/>
        </w:rPr>
        <w:footnoteRef/>
      </w:r>
      <w:r w:rsidRPr="00986685">
        <w:rPr>
          <w:lang w:val="de-DE"/>
        </w:rPr>
        <w:t xml:space="preserve"> BMWFW 2. 12. 2016, GZ 30.070/0007-WF/Pers/2/2016.</w:t>
      </w:r>
    </w:p>
  </w:footnote>
  <w:footnote w:id="81">
    <w:p w14:paraId="59E7D426" w14:textId="6BF4E33F" w:rsidR="00DD49DC" w:rsidRPr="00986685" w:rsidRDefault="00DD49DC">
      <w:pPr>
        <w:pStyle w:val="Funotentext"/>
        <w:rPr>
          <w:lang w:val="de-DE"/>
        </w:rPr>
      </w:pPr>
      <w:r>
        <w:rPr>
          <w:rStyle w:val="Funotenzeichen"/>
        </w:rPr>
        <w:footnoteRef/>
      </w:r>
      <w:r w:rsidRPr="00986685">
        <w:rPr>
          <w:lang w:val="de-DE"/>
        </w:rPr>
        <w:t xml:space="preserve"> </w:t>
      </w:r>
      <w:r w:rsidRPr="00A05D8D">
        <w:rPr>
          <w:lang w:val="de-DE"/>
        </w:rPr>
        <w:t>Vf</w:t>
      </w:r>
      <w:r w:rsidRPr="00986685">
        <w:rPr>
          <w:lang w:val="de-DE"/>
        </w:rPr>
        <w:t>Slg 19645/2012.</w:t>
      </w:r>
    </w:p>
  </w:footnote>
  <w:footnote w:id="82">
    <w:p w14:paraId="2554BAB1" w14:textId="21DB2B18" w:rsidR="00DD49DC" w:rsidRPr="00986685" w:rsidRDefault="00DD49DC">
      <w:pPr>
        <w:pStyle w:val="Funotentext"/>
      </w:pPr>
      <w:r>
        <w:rPr>
          <w:rStyle w:val="Funotenzeichen"/>
        </w:rPr>
        <w:footnoteRef/>
      </w:r>
      <w:r w:rsidRPr="00986685">
        <w:rPr>
          <w:lang w:val="de-DE"/>
        </w:rPr>
        <w:t xml:space="preserve"> BMWFW 2. </w:t>
      </w:r>
      <w:r w:rsidRPr="00B5352F">
        <w:t>12.</w:t>
      </w:r>
      <w:r>
        <w:t xml:space="preserve"> </w:t>
      </w:r>
      <w:r w:rsidRPr="00B5352F">
        <w:t xml:space="preserve">2016, </w:t>
      </w:r>
      <w:r>
        <w:t xml:space="preserve">GZ </w:t>
      </w:r>
      <w:r w:rsidRPr="00B5352F">
        <w:t>30.070/0007-WF/Pers/2/2016</w:t>
      </w:r>
      <w:r>
        <w:t>.</w:t>
      </w:r>
    </w:p>
  </w:footnote>
  <w:footnote w:id="83">
    <w:p w14:paraId="0894BDCC" w14:textId="2CBECF70" w:rsidR="00DD49DC" w:rsidRPr="00205426" w:rsidRDefault="00DD49DC" w:rsidP="00986685">
      <w:pPr>
        <w:pStyle w:val="Funotentext"/>
        <w:jc w:val="both"/>
      </w:pPr>
      <w:r>
        <w:rPr>
          <w:rStyle w:val="Funotenzeichen"/>
        </w:rPr>
        <w:footnoteRef/>
      </w:r>
      <w:r w:rsidRPr="00E76427">
        <w:t xml:space="preserve"> </w:t>
      </w:r>
      <w:r w:rsidRPr="00986685">
        <w:t>VfSlg 19645/2012: “</w:t>
      </w:r>
      <w:r w:rsidRPr="00FE26F2">
        <w:t>Nach ständiger Rechtsprechung des Verfassungsgerichtshofes liegt eine verfassungswidrige dynamische Verweisung (zB VfSlg. 6290/1970, 7085/1973, 7241/1973, 17.479/2005 mwN) dann vor, wenn der Gesetzgeber des Bundes oder des Landes nicht selbst den Inhalt der Normen festlegt, sondern dies einem anderen Gesetzgeber überlässt, indem er für die Zukunft die jeweiligen Gesetzesbefehle des anderen Gesetzgebers als eigene Gesetzbefehle erklärt, obwohl ihr Inhalt noch gar nicht feststeht und daher nirgends umschrieben ist; der zuständige Gesetzgeber gebe damit auch seine ihm zukommende Kompetenz auf.</w:t>
      </w:r>
      <w:r>
        <w:t>“</w:t>
      </w:r>
    </w:p>
  </w:footnote>
  <w:footnote w:id="84">
    <w:p w14:paraId="2554BAB2" w14:textId="12151D63" w:rsidR="00DD49DC" w:rsidRPr="00986685" w:rsidRDefault="00DD49DC">
      <w:pPr>
        <w:pStyle w:val="Funotentext"/>
        <w:rPr>
          <w:lang w:val="en-US"/>
        </w:rPr>
      </w:pPr>
      <w:r>
        <w:rPr>
          <w:rStyle w:val="Funotenzeichen"/>
        </w:rPr>
        <w:footnoteRef/>
      </w:r>
      <w:r w:rsidRPr="00986685">
        <w:rPr>
          <w:lang w:val="en-US"/>
        </w:rPr>
        <w:t xml:space="preserve"> BMWFW 2.</w:t>
      </w:r>
      <w:r>
        <w:rPr>
          <w:lang w:val="en-US"/>
        </w:rPr>
        <w:t xml:space="preserve"> </w:t>
      </w:r>
      <w:r w:rsidRPr="00986685">
        <w:rPr>
          <w:lang w:val="en-US"/>
        </w:rPr>
        <w:t>12.</w:t>
      </w:r>
      <w:r>
        <w:rPr>
          <w:lang w:val="en-US"/>
        </w:rPr>
        <w:t xml:space="preserve"> </w:t>
      </w:r>
      <w:r w:rsidRPr="00986685">
        <w:rPr>
          <w:lang w:val="en-US"/>
        </w:rPr>
        <w:t xml:space="preserve">2016, </w:t>
      </w:r>
      <w:r>
        <w:rPr>
          <w:lang w:val="en-US"/>
        </w:rPr>
        <w:t xml:space="preserve">GZ </w:t>
      </w:r>
      <w:r w:rsidRPr="00986685">
        <w:rPr>
          <w:lang w:val="en-US"/>
        </w:rPr>
        <w:t>30.070/0007-WF/Pers/2/2016.</w:t>
      </w:r>
    </w:p>
  </w:footnote>
  <w:footnote w:id="85">
    <w:p w14:paraId="2554BAB3" w14:textId="054E42BA" w:rsidR="00DD49DC" w:rsidRPr="00A05D8D" w:rsidRDefault="00DD49DC">
      <w:pPr>
        <w:pStyle w:val="Funotentext"/>
        <w:rPr>
          <w:lang w:val="de-DE"/>
        </w:rPr>
      </w:pPr>
      <w:r>
        <w:rPr>
          <w:rStyle w:val="Funotenzeichen"/>
        </w:rPr>
        <w:footnoteRef/>
      </w:r>
      <w:r w:rsidRPr="00986685">
        <w:rPr>
          <w:lang w:val="en-US"/>
        </w:rPr>
        <w:t xml:space="preserve"> BMWFW 2.</w:t>
      </w:r>
      <w:r>
        <w:rPr>
          <w:lang w:val="en-US"/>
        </w:rPr>
        <w:t xml:space="preserve"> </w:t>
      </w:r>
      <w:r w:rsidRPr="00986685">
        <w:rPr>
          <w:lang w:val="de-DE"/>
        </w:rPr>
        <w:t>12. 2016, GZ 30.070/0007-WF/Pers/2/2016.</w:t>
      </w:r>
    </w:p>
  </w:footnote>
  <w:footnote w:id="86">
    <w:p w14:paraId="6C4E8EC2" w14:textId="26627B11" w:rsidR="00DD49DC" w:rsidRPr="00986685" w:rsidRDefault="00DD49DC">
      <w:pPr>
        <w:pStyle w:val="Funotentext"/>
        <w:rPr>
          <w:lang w:val="de-DE"/>
        </w:rPr>
      </w:pPr>
      <w:r>
        <w:rPr>
          <w:rStyle w:val="Funotenzeichen"/>
        </w:rPr>
        <w:footnoteRef/>
      </w:r>
      <w:r>
        <w:t xml:space="preserve"> </w:t>
      </w:r>
      <w:r>
        <w:rPr>
          <w:lang w:val="de-DE"/>
        </w:rPr>
        <w:t xml:space="preserve">So auch </w:t>
      </w:r>
      <w:r w:rsidRPr="00986685">
        <w:rPr>
          <w:i/>
          <w:lang w:val="de-DE"/>
        </w:rPr>
        <w:t>Perle</w:t>
      </w:r>
      <w:r>
        <w:rPr>
          <w:lang w:val="de-DE"/>
        </w:rPr>
        <w:t>, zfhr 2016, 148.</w:t>
      </w:r>
    </w:p>
  </w:footnote>
  <w:footnote w:id="87">
    <w:p w14:paraId="38236DD1" w14:textId="127A22D0" w:rsidR="00DD49DC" w:rsidRPr="009978E1" w:rsidRDefault="00DD49DC">
      <w:pPr>
        <w:pStyle w:val="Funotentext"/>
        <w:rPr>
          <w:lang w:val="de-DE"/>
        </w:rPr>
      </w:pPr>
      <w:r>
        <w:rPr>
          <w:rStyle w:val="Funotenzeichen"/>
        </w:rPr>
        <w:footnoteRef/>
      </w:r>
      <w:r w:rsidRPr="00B5352F">
        <w:t xml:space="preserve"> Ausführli</w:t>
      </w:r>
      <w:r>
        <w:t xml:space="preserve">ch </w:t>
      </w:r>
      <w:r w:rsidRPr="009978E1">
        <w:rPr>
          <w:i/>
          <w:lang w:val="de-DE"/>
        </w:rPr>
        <w:t>Lang/Feucht</w:t>
      </w:r>
      <w:r>
        <w:rPr>
          <w:lang w:val="de-DE"/>
        </w:rPr>
        <w:t xml:space="preserve">, zfhr 2004, 53. </w:t>
      </w:r>
    </w:p>
  </w:footnote>
  <w:footnote w:id="88">
    <w:p w14:paraId="334840E6" w14:textId="7CDA55D8" w:rsidR="00DD49DC" w:rsidRPr="00986685" w:rsidRDefault="00DD49DC">
      <w:pPr>
        <w:pStyle w:val="Funotentext"/>
        <w:rPr>
          <w:lang w:val="de-DE"/>
        </w:rPr>
      </w:pPr>
      <w:r>
        <w:rPr>
          <w:rStyle w:val="Funotenzeichen"/>
        </w:rPr>
        <w:footnoteRef/>
      </w:r>
      <w:r>
        <w:t xml:space="preserve"> Derartige Grenzen nimmt auch </w:t>
      </w:r>
      <w:r>
        <w:rPr>
          <w:i/>
          <w:iCs/>
        </w:rPr>
        <w:t>Kucsko-Stadlmayer</w:t>
      </w:r>
      <w:r>
        <w:t xml:space="preserve"> in </w:t>
      </w:r>
      <w:r>
        <w:rPr>
          <w:i/>
          <w:iCs/>
        </w:rPr>
        <w:t>Perthold-Stoitzner</w:t>
      </w:r>
      <w:r>
        <w:t>, UG</w:t>
      </w:r>
      <w:r>
        <w:rPr>
          <w:vertAlign w:val="superscript"/>
        </w:rPr>
        <w:t>3</w:t>
      </w:r>
      <w:r>
        <w:t xml:space="preserve"> § 98 Rz 13 (Stand 1.10.2016, rdb.at) an, wenn sie davon ausgeht, dass bei der Ausschreibung „die Verankerung von Vorschlagsrechten aus dem Fachbereich in der Satzung insoweit zulässig [ist], als sie das Rektorat nicht binden“.</w:t>
      </w:r>
    </w:p>
  </w:footnote>
  <w:footnote w:id="89">
    <w:p w14:paraId="70C3670E" w14:textId="6C4687D4" w:rsidR="00DD49DC" w:rsidRPr="00A05D8D" w:rsidRDefault="00DD49DC">
      <w:pPr>
        <w:pStyle w:val="Funotentext"/>
        <w:rPr>
          <w:lang w:val="de-DE"/>
        </w:rPr>
      </w:pPr>
      <w:r>
        <w:rPr>
          <w:rStyle w:val="Funotenzeichen"/>
        </w:rPr>
        <w:footnoteRef/>
      </w:r>
      <w:r w:rsidRPr="00986685">
        <w:rPr>
          <w:lang w:val="de-DE"/>
        </w:rPr>
        <w:t xml:space="preserve"> BMWFW 2. 12. 2016, GZ 30.070/0007-WF/Pers/2/2016.</w:t>
      </w:r>
    </w:p>
  </w:footnote>
  <w:footnote w:id="90">
    <w:p w14:paraId="09B6BD83" w14:textId="71DC4994" w:rsidR="00DD49DC" w:rsidRPr="00A05D8D" w:rsidRDefault="00DD49DC" w:rsidP="00986685">
      <w:pPr>
        <w:pStyle w:val="Funotentext"/>
        <w:jc w:val="both"/>
        <w:rPr>
          <w:lang w:val="de-DE"/>
        </w:rPr>
      </w:pPr>
      <w:r>
        <w:rPr>
          <w:rStyle w:val="Funotenzeichen"/>
        </w:rPr>
        <w:footnoteRef/>
      </w:r>
      <w:r w:rsidRPr="00986685">
        <w:rPr>
          <w:lang w:val="de-DE"/>
        </w:rPr>
        <w:t xml:space="preserve"> </w:t>
      </w:r>
      <w:r w:rsidRPr="00A05D8D">
        <w:rPr>
          <w:lang w:val="de-DE"/>
        </w:rPr>
        <w:t>So BMWFW 2.</w:t>
      </w:r>
      <w:r w:rsidRPr="00986685">
        <w:rPr>
          <w:lang w:val="de-DE"/>
        </w:rPr>
        <w:t xml:space="preserve"> 12. 2016, GZ 30.070/0007-WF/Pers/2/2016.</w:t>
      </w:r>
    </w:p>
  </w:footnote>
  <w:footnote w:id="91">
    <w:p w14:paraId="0A7C73CD" w14:textId="2AFFA81B" w:rsidR="00DD49DC" w:rsidRPr="00986685" w:rsidRDefault="00DD49DC">
      <w:pPr>
        <w:pStyle w:val="Funotentext"/>
        <w:rPr>
          <w:lang w:val="de-DE"/>
        </w:rPr>
      </w:pPr>
      <w:r>
        <w:rPr>
          <w:rStyle w:val="Funotenzeichen"/>
        </w:rPr>
        <w:footnoteRef/>
      </w:r>
      <w:r>
        <w:t xml:space="preserve"> Dazu grundlegend und in weiterer Folge anhand von Normkonflikte zwischen Regelungen von Bund und Ländern erläuternd </w:t>
      </w:r>
      <w:r w:rsidRPr="009978E1">
        <w:rPr>
          <w:i/>
        </w:rPr>
        <w:t>Wiederin</w:t>
      </w:r>
      <w:r>
        <w:t>, Bundes- und Landesrecht (1995) 51 ff.</w:t>
      </w:r>
    </w:p>
  </w:footnote>
  <w:footnote w:id="92">
    <w:p w14:paraId="649056DE" w14:textId="534D1F79" w:rsidR="00DD49DC" w:rsidRPr="00986685" w:rsidRDefault="00DD49DC">
      <w:pPr>
        <w:pStyle w:val="Funotentext"/>
        <w:rPr>
          <w:lang w:val="de-DE"/>
        </w:rPr>
      </w:pPr>
      <w:r>
        <w:rPr>
          <w:rStyle w:val="Funotenzeichen"/>
        </w:rPr>
        <w:footnoteRef/>
      </w:r>
      <w:r>
        <w:t xml:space="preserve"> </w:t>
      </w:r>
      <w:r w:rsidRPr="000F45ED">
        <w:t>Hier gilt vielmehr – wie der VfGH in VfSlg 19645/2012 ausgesprochen hat – dass es keinem Gesetzgeber verfassungsrechtlich generell verwehrt ist, an die von einer anderen Rechtsetzungsautorität geschaffene Rechtslage anzuknüpfen. Der VfGH erachtet es nämlich für verfassungsrechtlich unbedenklich, wenn die eine Gesetzgebungsautorität an Rechtsinstitute anknüpft und auf Lebenssachverhalte Bedacht nimmt, die von der anderen Gesetzgebungsautorität zu regeln sind, sofern das Anknüpfen und die Bedachtnahme sachlich gerechtfertigt sind (VfSlg. 8161/1977).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3606"/>
    <w:multiLevelType w:val="hybridMultilevel"/>
    <w:tmpl w:val="A4B0656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656389"/>
    <w:multiLevelType w:val="hybridMultilevel"/>
    <w:tmpl w:val="0E342A2C"/>
    <w:lvl w:ilvl="0" w:tplc="4F06FF7E">
      <w:start w:val="1"/>
      <w:numFmt w:val="lowerLetter"/>
      <w:lvlText w:val="%1)"/>
      <w:lvlJc w:val="left"/>
      <w:pPr>
        <w:ind w:left="720" w:hanging="360"/>
      </w:pPr>
      <w:rPr>
        <w:rFonts w:ascii="Times New Roman" w:eastAsiaTheme="minorHAnsi" w:hAnsi="Times New Roman" w:cs="Times New Roman"/>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6D30E61"/>
    <w:multiLevelType w:val="hybridMultilevel"/>
    <w:tmpl w:val="4872C4F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0A72B79"/>
    <w:multiLevelType w:val="hybridMultilevel"/>
    <w:tmpl w:val="25FC8542"/>
    <w:lvl w:ilvl="0" w:tplc="249A7D44">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77E2785F"/>
    <w:multiLevelType w:val="hybridMultilevel"/>
    <w:tmpl w:val="0E402C3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C1"/>
    <w:rsid w:val="00001021"/>
    <w:rsid w:val="000015E9"/>
    <w:rsid w:val="000041BF"/>
    <w:rsid w:val="00006F81"/>
    <w:rsid w:val="0001526B"/>
    <w:rsid w:val="00016870"/>
    <w:rsid w:val="00024D02"/>
    <w:rsid w:val="00026AA2"/>
    <w:rsid w:val="00027659"/>
    <w:rsid w:val="00031119"/>
    <w:rsid w:val="00032302"/>
    <w:rsid w:val="000378B8"/>
    <w:rsid w:val="00041C75"/>
    <w:rsid w:val="00041D3F"/>
    <w:rsid w:val="00043A32"/>
    <w:rsid w:val="00045F50"/>
    <w:rsid w:val="0005412C"/>
    <w:rsid w:val="00064844"/>
    <w:rsid w:val="0006777F"/>
    <w:rsid w:val="00072FB8"/>
    <w:rsid w:val="00075990"/>
    <w:rsid w:val="00077D03"/>
    <w:rsid w:val="0009409A"/>
    <w:rsid w:val="000A13A7"/>
    <w:rsid w:val="000A52B8"/>
    <w:rsid w:val="000A795E"/>
    <w:rsid w:val="000B7954"/>
    <w:rsid w:val="000C1718"/>
    <w:rsid w:val="000C70D2"/>
    <w:rsid w:val="000D0837"/>
    <w:rsid w:val="000D0C20"/>
    <w:rsid w:val="000D4761"/>
    <w:rsid w:val="000D48F8"/>
    <w:rsid w:val="000E253D"/>
    <w:rsid w:val="000E3A91"/>
    <w:rsid w:val="000E60A8"/>
    <w:rsid w:val="000F1970"/>
    <w:rsid w:val="000F45ED"/>
    <w:rsid w:val="00100087"/>
    <w:rsid w:val="00100331"/>
    <w:rsid w:val="00101AC7"/>
    <w:rsid w:val="00105324"/>
    <w:rsid w:val="0011260D"/>
    <w:rsid w:val="001127FC"/>
    <w:rsid w:val="00112D5E"/>
    <w:rsid w:val="00114FE4"/>
    <w:rsid w:val="0011772C"/>
    <w:rsid w:val="00122D5F"/>
    <w:rsid w:val="001270C2"/>
    <w:rsid w:val="00127FA4"/>
    <w:rsid w:val="00130433"/>
    <w:rsid w:val="00131C8D"/>
    <w:rsid w:val="00144A41"/>
    <w:rsid w:val="00146454"/>
    <w:rsid w:val="0015692D"/>
    <w:rsid w:val="00160861"/>
    <w:rsid w:val="0016438F"/>
    <w:rsid w:val="001769E1"/>
    <w:rsid w:val="001805CA"/>
    <w:rsid w:val="00181250"/>
    <w:rsid w:val="0018240A"/>
    <w:rsid w:val="001837CA"/>
    <w:rsid w:val="001914DB"/>
    <w:rsid w:val="001A5E48"/>
    <w:rsid w:val="001B1E12"/>
    <w:rsid w:val="001B3A94"/>
    <w:rsid w:val="001B7FFD"/>
    <w:rsid w:val="001C2761"/>
    <w:rsid w:val="001C70FE"/>
    <w:rsid w:val="001C7F52"/>
    <w:rsid w:val="001D0316"/>
    <w:rsid w:val="001D25AB"/>
    <w:rsid w:val="001D7843"/>
    <w:rsid w:val="001D7A61"/>
    <w:rsid w:val="001E0E5D"/>
    <w:rsid w:val="001E6C6F"/>
    <w:rsid w:val="001F1584"/>
    <w:rsid w:val="001F3043"/>
    <w:rsid w:val="001F4BD2"/>
    <w:rsid w:val="001F5CFA"/>
    <w:rsid w:val="002007F5"/>
    <w:rsid w:val="002017A6"/>
    <w:rsid w:val="0020182F"/>
    <w:rsid w:val="00201BC0"/>
    <w:rsid w:val="002037BC"/>
    <w:rsid w:val="00205426"/>
    <w:rsid w:val="00205820"/>
    <w:rsid w:val="00206B55"/>
    <w:rsid w:val="00210CD2"/>
    <w:rsid w:val="0021218B"/>
    <w:rsid w:val="00213112"/>
    <w:rsid w:val="0021392B"/>
    <w:rsid w:val="0021459B"/>
    <w:rsid w:val="002215FB"/>
    <w:rsid w:val="00230717"/>
    <w:rsid w:val="00231DD8"/>
    <w:rsid w:val="00232F27"/>
    <w:rsid w:val="00233DFF"/>
    <w:rsid w:val="0023528A"/>
    <w:rsid w:val="0023625C"/>
    <w:rsid w:val="00240294"/>
    <w:rsid w:val="0024030C"/>
    <w:rsid w:val="00250159"/>
    <w:rsid w:val="002511EA"/>
    <w:rsid w:val="00262A86"/>
    <w:rsid w:val="00265F9F"/>
    <w:rsid w:val="00271734"/>
    <w:rsid w:val="002740BE"/>
    <w:rsid w:val="0027649A"/>
    <w:rsid w:val="002803BB"/>
    <w:rsid w:val="002829E8"/>
    <w:rsid w:val="00282AED"/>
    <w:rsid w:val="00283786"/>
    <w:rsid w:val="002872AF"/>
    <w:rsid w:val="00287632"/>
    <w:rsid w:val="00287BB6"/>
    <w:rsid w:val="00297699"/>
    <w:rsid w:val="002A3898"/>
    <w:rsid w:val="002A5390"/>
    <w:rsid w:val="002A562A"/>
    <w:rsid w:val="002B01F1"/>
    <w:rsid w:val="002B28E8"/>
    <w:rsid w:val="002B3381"/>
    <w:rsid w:val="002B34FE"/>
    <w:rsid w:val="002B7461"/>
    <w:rsid w:val="002C10F3"/>
    <w:rsid w:val="002C1100"/>
    <w:rsid w:val="002C2AA4"/>
    <w:rsid w:val="002C5070"/>
    <w:rsid w:val="002C6A19"/>
    <w:rsid w:val="002C6E66"/>
    <w:rsid w:val="002D0882"/>
    <w:rsid w:val="002D14CB"/>
    <w:rsid w:val="002D5C76"/>
    <w:rsid w:val="002D60AC"/>
    <w:rsid w:val="002D60BF"/>
    <w:rsid w:val="002D619A"/>
    <w:rsid w:val="002D6D42"/>
    <w:rsid w:val="002E04BA"/>
    <w:rsid w:val="002F00D2"/>
    <w:rsid w:val="002F5632"/>
    <w:rsid w:val="0030069D"/>
    <w:rsid w:val="00303E0C"/>
    <w:rsid w:val="00304C5D"/>
    <w:rsid w:val="00305A4F"/>
    <w:rsid w:val="00305AE8"/>
    <w:rsid w:val="003148A9"/>
    <w:rsid w:val="003170EC"/>
    <w:rsid w:val="00320AA2"/>
    <w:rsid w:val="00325D71"/>
    <w:rsid w:val="00330C5A"/>
    <w:rsid w:val="00335B2F"/>
    <w:rsid w:val="00335D32"/>
    <w:rsid w:val="00341186"/>
    <w:rsid w:val="00342DF7"/>
    <w:rsid w:val="00343DA3"/>
    <w:rsid w:val="003555F4"/>
    <w:rsid w:val="003559C3"/>
    <w:rsid w:val="003562DA"/>
    <w:rsid w:val="003571EF"/>
    <w:rsid w:val="0036025E"/>
    <w:rsid w:val="0036269A"/>
    <w:rsid w:val="00364157"/>
    <w:rsid w:val="0037054F"/>
    <w:rsid w:val="00370B82"/>
    <w:rsid w:val="003716FE"/>
    <w:rsid w:val="00374955"/>
    <w:rsid w:val="0037657E"/>
    <w:rsid w:val="00381E7E"/>
    <w:rsid w:val="003823C7"/>
    <w:rsid w:val="00385F2D"/>
    <w:rsid w:val="0038707C"/>
    <w:rsid w:val="00397DFE"/>
    <w:rsid w:val="003A07BB"/>
    <w:rsid w:val="003A295D"/>
    <w:rsid w:val="003A52BA"/>
    <w:rsid w:val="003B1484"/>
    <w:rsid w:val="003B1ADC"/>
    <w:rsid w:val="003B2466"/>
    <w:rsid w:val="003B6E8F"/>
    <w:rsid w:val="003C0E2B"/>
    <w:rsid w:val="003C4B47"/>
    <w:rsid w:val="003C6D25"/>
    <w:rsid w:val="003D4543"/>
    <w:rsid w:val="003E35DA"/>
    <w:rsid w:val="003E581F"/>
    <w:rsid w:val="003E77D2"/>
    <w:rsid w:val="003F7632"/>
    <w:rsid w:val="004047D6"/>
    <w:rsid w:val="004068E2"/>
    <w:rsid w:val="00410188"/>
    <w:rsid w:val="00412508"/>
    <w:rsid w:val="00412D75"/>
    <w:rsid w:val="004251B0"/>
    <w:rsid w:val="00427D51"/>
    <w:rsid w:val="004362DE"/>
    <w:rsid w:val="0044040D"/>
    <w:rsid w:val="00442C9B"/>
    <w:rsid w:val="0045629B"/>
    <w:rsid w:val="004575C4"/>
    <w:rsid w:val="00467386"/>
    <w:rsid w:val="004703EB"/>
    <w:rsid w:val="00473F62"/>
    <w:rsid w:val="004753DF"/>
    <w:rsid w:val="00480612"/>
    <w:rsid w:val="0048369E"/>
    <w:rsid w:val="00485E07"/>
    <w:rsid w:val="00492A9E"/>
    <w:rsid w:val="00492C65"/>
    <w:rsid w:val="00496627"/>
    <w:rsid w:val="004A1F1C"/>
    <w:rsid w:val="004B2B24"/>
    <w:rsid w:val="004B3A79"/>
    <w:rsid w:val="004B4280"/>
    <w:rsid w:val="004B47EB"/>
    <w:rsid w:val="004C3433"/>
    <w:rsid w:val="004C6A41"/>
    <w:rsid w:val="004D10A7"/>
    <w:rsid w:val="004D2E04"/>
    <w:rsid w:val="004D48AA"/>
    <w:rsid w:val="004D6912"/>
    <w:rsid w:val="004D7012"/>
    <w:rsid w:val="004E16A6"/>
    <w:rsid w:val="004E3835"/>
    <w:rsid w:val="004F3499"/>
    <w:rsid w:val="004F4250"/>
    <w:rsid w:val="005000BC"/>
    <w:rsid w:val="00504D9A"/>
    <w:rsid w:val="00507226"/>
    <w:rsid w:val="00517175"/>
    <w:rsid w:val="005218B6"/>
    <w:rsid w:val="00526300"/>
    <w:rsid w:val="00526A01"/>
    <w:rsid w:val="00527C59"/>
    <w:rsid w:val="00530B5D"/>
    <w:rsid w:val="00531A17"/>
    <w:rsid w:val="00531C35"/>
    <w:rsid w:val="0053307F"/>
    <w:rsid w:val="00535A41"/>
    <w:rsid w:val="00536D54"/>
    <w:rsid w:val="00542271"/>
    <w:rsid w:val="00543DAA"/>
    <w:rsid w:val="0054512D"/>
    <w:rsid w:val="005618E8"/>
    <w:rsid w:val="00563E79"/>
    <w:rsid w:val="005652A1"/>
    <w:rsid w:val="005662F0"/>
    <w:rsid w:val="00581FFB"/>
    <w:rsid w:val="0058309B"/>
    <w:rsid w:val="0058367D"/>
    <w:rsid w:val="005841BB"/>
    <w:rsid w:val="00585815"/>
    <w:rsid w:val="00592AF2"/>
    <w:rsid w:val="00592EF3"/>
    <w:rsid w:val="00595C10"/>
    <w:rsid w:val="00595F1A"/>
    <w:rsid w:val="005A2072"/>
    <w:rsid w:val="005A4E25"/>
    <w:rsid w:val="005B5DC2"/>
    <w:rsid w:val="005C0271"/>
    <w:rsid w:val="005D3C6E"/>
    <w:rsid w:val="005D54E7"/>
    <w:rsid w:val="005D5E8F"/>
    <w:rsid w:val="005D6D78"/>
    <w:rsid w:val="005E009E"/>
    <w:rsid w:val="005E0EEE"/>
    <w:rsid w:val="005E108F"/>
    <w:rsid w:val="005E5F38"/>
    <w:rsid w:val="005F40EC"/>
    <w:rsid w:val="005F54F6"/>
    <w:rsid w:val="00600D0C"/>
    <w:rsid w:val="00604BFE"/>
    <w:rsid w:val="0061142D"/>
    <w:rsid w:val="00613060"/>
    <w:rsid w:val="00614DDF"/>
    <w:rsid w:val="006168A4"/>
    <w:rsid w:val="006169D2"/>
    <w:rsid w:val="00621DC6"/>
    <w:rsid w:val="00631758"/>
    <w:rsid w:val="006336E1"/>
    <w:rsid w:val="006416D7"/>
    <w:rsid w:val="0064341D"/>
    <w:rsid w:val="0064360A"/>
    <w:rsid w:val="00644529"/>
    <w:rsid w:val="0065002C"/>
    <w:rsid w:val="0065369C"/>
    <w:rsid w:val="006548E3"/>
    <w:rsid w:val="00661CDE"/>
    <w:rsid w:val="00663FE7"/>
    <w:rsid w:val="00664D2D"/>
    <w:rsid w:val="00665473"/>
    <w:rsid w:val="006673F6"/>
    <w:rsid w:val="00667E43"/>
    <w:rsid w:val="00670ABD"/>
    <w:rsid w:val="00684F3F"/>
    <w:rsid w:val="00686E45"/>
    <w:rsid w:val="00687E4A"/>
    <w:rsid w:val="006911FB"/>
    <w:rsid w:val="00693EB2"/>
    <w:rsid w:val="006942BC"/>
    <w:rsid w:val="006A4DB0"/>
    <w:rsid w:val="006A6E4C"/>
    <w:rsid w:val="006B0ADA"/>
    <w:rsid w:val="006B4B05"/>
    <w:rsid w:val="006C45D2"/>
    <w:rsid w:val="006D2010"/>
    <w:rsid w:val="006D3E9F"/>
    <w:rsid w:val="006D4FE3"/>
    <w:rsid w:val="006E29D8"/>
    <w:rsid w:val="006E756C"/>
    <w:rsid w:val="006F13CD"/>
    <w:rsid w:val="006F4656"/>
    <w:rsid w:val="006F7AFF"/>
    <w:rsid w:val="00701073"/>
    <w:rsid w:val="007037F0"/>
    <w:rsid w:val="00704233"/>
    <w:rsid w:val="007044E7"/>
    <w:rsid w:val="007102A7"/>
    <w:rsid w:val="00711DEE"/>
    <w:rsid w:val="00715595"/>
    <w:rsid w:val="00715D4D"/>
    <w:rsid w:val="00721EE4"/>
    <w:rsid w:val="0072741D"/>
    <w:rsid w:val="00731FC1"/>
    <w:rsid w:val="00746033"/>
    <w:rsid w:val="007514AD"/>
    <w:rsid w:val="00751E98"/>
    <w:rsid w:val="007527FA"/>
    <w:rsid w:val="0076351D"/>
    <w:rsid w:val="00765D77"/>
    <w:rsid w:val="007675AE"/>
    <w:rsid w:val="0077318A"/>
    <w:rsid w:val="00773E69"/>
    <w:rsid w:val="00775E4B"/>
    <w:rsid w:val="00776A5F"/>
    <w:rsid w:val="00780614"/>
    <w:rsid w:val="007819D0"/>
    <w:rsid w:val="0078455E"/>
    <w:rsid w:val="00796B31"/>
    <w:rsid w:val="00797B8E"/>
    <w:rsid w:val="007A02D1"/>
    <w:rsid w:val="007A2953"/>
    <w:rsid w:val="007A5D37"/>
    <w:rsid w:val="007A7681"/>
    <w:rsid w:val="007A78A5"/>
    <w:rsid w:val="007B6909"/>
    <w:rsid w:val="007C0303"/>
    <w:rsid w:val="007C13EF"/>
    <w:rsid w:val="007C2DBD"/>
    <w:rsid w:val="007D1E18"/>
    <w:rsid w:val="007D31C7"/>
    <w:rsid w:val="007D7D6A"/>
    <w:rsid w:val="007E06BC"/>
    <w:rsid w:val="007E0E6A"/>
    <w:rsid w:val="007E4859"/>
    <w:rsid w:val="007E7DB4"/>
    <w:rsid w:val="007F1060"/>
    <w:rsid w:val="007F1C7D"/>
    <w:rsid w:val="007F1F14"/>
    <w:rsid w:val="007F2D2E"/>
    <w:rsid w:val="007F36FF"/>
    <w:rsid w:val="007F58BB"/>
    <w:rsid w:val="008035BF"/>
    <w:rsid w:val="008035FA"/>
    <w:rsid w:val="008036C6"/>
    <w:rsid w:val="0080584A"/>
    <w:rsid w:val="0081387D"/>
    <w:rsid w:val="008146DB"/>
    <w:rsid w:val="00815475"/>
    <w:rsid w:val="00815A36"/>
    <w:rsid w:val="00817B87"/>
    <w:rsid w:val="00817BC9"/>
    <w:rsid w:val="00831019"/>
    <w:rsid w:val="008370A8"/>
    <w:rsid w:val="00840436"/>
    <w:rsid w:val="00842023"/>
    <w:rsid w:val="008448DC"/>
    <w:rsid w:val="008464D6"/>
    <w:rsid w:val="00847109"/>
    <w:rsid w:val="008512E8"/>
    <w:rsid w:val="008528E0"/>
    <w:rsid w:val="00871B31"/>
    <w:rsid w:val="0087577D"/>
    <w:rsid w:val="00876F55"/>
    <w:rsid w:val="00885408"/>
    <w:rsid w:val="00887B52"/>
    <w:rsid w:val="00893B97"/>
    <w:rsid w:val="00894185"/>
    <w:rsid w:val="008959CA"/>
    <w:rsid w:val="008961B4"/>
    <w:rsid w:val="008A6CF3"/>
    <w:rsid w:val="008B0148"/>
    <w:rsid w:val="008C0A61"/>
    <w:rsid w:val="008C2AA8"/>
    <w:rsid w:val="008C2B6F"/>
    <w:rsid w:val="008C37AE"/>
    <w:rsid w:val="008C3FB1"/>
    <w:rsid w:val="008C42EC"/>
    <w:rsid w:val="008C742F"/>
    <w:rsid w:val="008D0733"/>
    <w:rsid w:val="008D07B1"/>
    <w:rsid w:val="008D4BF4"/>
    <w:rsid w:val="008E061C"/>
    <w:rsid w:val="008E6E9F"/>
    <w:rsid w:val="008F00D6"/>
    <w:rsid w:val="008F0B83"/>
    <w:rsid w:val="0090125D"/>
    <w:rsid w:val="00906D17"/>
    <w:rsid w:val="009071EB"/>
    <w:rsid w:val="00910162"/>
    <w:rsid w:val="0091202A"/>
    <w:rsid w:val="00913698"/>
    <w:rsid w:val="0091622D"/>
    <w:rsid w:val="00917317"/>
    <w:rsid w:val="00917F91"/>
    <w:rsid w:val="00917FD0"/>
    <w:rsid w:val="00920246"/>
    <w:rsid w:val="0092387B"/>
    <w:rsid w:val="00925A59"/>
    <w:rsid w:val="00926AEB"/>
    <w:rsid w:val="0092750F"/>
    <w:rsid w:val="00932C01"/>
    <w:rsid w:val="0094192C"/>
    <w:rsid w:val="00944080"/>
    <w:rsid w:val="009640B3"/>
    <w:rsid w:val="009658F1"/>
    <w:rsid w:val="00965CEC"/>
    <w:rsid w:val="00966E13"/>
    <w:rsid w:val="00966F42"/>
    <w:rsid w:val="0097319F"/>
    <w:rsid w:val="00975793"/>
    <w:rsid w:val="00975A2F"/>
    <w:rsid w:val="00982825"/>
    <w:rsid w:val="009844F8"/>
    <w:rsid w:val="00986685"/>
    <w:rsid w:val="00987534"/>
    <w:rsid w:val="00991411"/>
    <w:rsid w:val="009922F6"/>
    <w:rsid w:val="00994550"/>
    <w:rsid w:val="009952A2"/>
    <w:rsid w:val="009978E1"/>
    <w:rsid w:val="009A7766"/>
    <w:rsid w:val="009B0EEF"/>
    <w:rsid w:val="009B32FD"/>
    <w:rsid w:val="009B79E6"/>
    <w:rsid w:val="009D3A75"/>
    <w:rsid w:val="009D7FCF"/>
    <w:rsid w:val="009E3A67"/>
    <w:rsid w:val="009E5176"/>
    <w:rsid w:val="009F0688"/>
    <w:rsid w:val="009F59E2"/>
    <w:rsid w:val="009F61A3"/>
    <w:rsid w:val="009F7959"/>
    <w:rsid w:val="00A04B67"/>
    <w:rsid w:val="00A05D8D"/>
    <w:rsid w:val="00A060E2"/>
    <w:rsid w:val="00A11456"/>
    <w:rsid w:val="00A12B33"/>
    <w:rsid w:val="00A13EE9"/>
    <w:rsid w:val="00A142BE"/>
    <w:rsid w:val="00A17C9B"/>
    <w:rsid w:val="00A20FD9"/>
    <w:rsid w:val="00A2614C"/>
    <w:rsid w:val="00A30B94"/>
    <w:rsid w:val="00A33213"/>
    <w:rsid w:val="00A34C63"/>
    <w:rsid w:val="00A405A8"/>
    <w:rsid w:val="00A40792"/>
    <w:rsid w:val="00A40E52"/>
    <w:rsid w:val="00A41BEA"/>
    <w:rsid w:val="00A42AC2"/>
    <w:rsid w:val="00A45B28"/>
    <w:rsid w:val="00A4628F"/>
    <w:rsid w:val="00A526B1"/>
    <w:rsid w:val="00A52A63"/>
    <w:rsid w:val="00A54C87"/>
    <w:rsid w:val="00A557D7"/>
    <w:rsid w:val="00A574A2"/>
    <w:rsid w:val="00A65CAD"/>
    <w:rsid w:val="00A66ADD"/>
    <w:rsid w:val="00A66FD8"/>
    <w:rsid w:val="00A72BAF"/>
    <w:rsid w:val="00A72CBE"/>
    <w:rsid w:val="00A7405C"/>
    <w:rsid w:val="00A743D2"/>
    <w:rsid w:val="00A748CD"/>
    <w:rsid w:val="00A776D9"/>
    <w:rsid w:val="00A91EE4"/>
    <w:rsid w:val="00A926EF"/>
    <w:rsid w:val="00A9328F"/>
    <w:rsid w:val="00A94ECF"/>
    <w:rsid w:val="00A952E8"/>
    <w:rsid w:val="00A965D1"/>
    <w:rsid w:val="00AA2466"/>
    <w:rsid w:val="00AA2593"/>
    <w:rsid w:val="00AA5A93"/>
    <w:rsid w:val="00AA74D1"/>
    <w:rsid w:val="00AB5BF4"/>
    <w:rsid w:val="00AC0755"/>
    <w:rsid w:val="00AC1FA9"/>
    <w:rsid w:val="00AC3C37"/>
    <w:rsid w:val="00AC48A1"/>
    <w:rsid w:val="00AC493C"/>
    <w:rsid w:val="00AC7320"/>
    <w:rsid w:val="00AD1812"/>
    <w:rsid w:val="00AD258F"/>
    <w:rsid w:val="00AD7D88"/>
    <w:rsid w:val="00AE5555"/>
    <w:rsid w:val="00AF0EDF"/>
    <w:rsid w:val="00AF36EE"/>
    <w:rsid w:val="00B00A0D"/>
    <w:rsid w:val="00B0581F"/>
    <w:rsid w:val="00B06FE9"/>
    <w:rsid w:val="00B336CB"/>
    <w:rsid w:val="00B35EF4"/>
    <w:rsid w:val="00B429A6"/>
    <w:rsid w:val="00B45EBC"/>
    <w:rsid w:val="00B476F2"/>
    <w:rsid w:val="00B51CC9"/>
    <w:rsid w:val="00B532A7"/>
    <w:rsid w:val="00B5352F"/>
    <w:rsid w:val="00B60A54"/>
    <w:rsid w:val="00B648E7"/>
    <w:rsid w:val="00B67B46"/>
    <w:rsid w:val="00B70E6D"/>
    <w:rsid w:val="00B82820"/>
    <w:rsid w:val="00B83283"/>
    <w:rsid w:val="00B872B1"/>
    <w:rsid w:val="00B873C2"/>
    <w:rsid w:val="00B90964"/>
    <w:rsid w:val="00B90FDA"/>
    <w:rsid w:val="00B910E2"/>
    <w:rsid w:val="00B914F3"/>
    <w:rsid w:val="00B9498E"/>
    <w:rsid w:val="00BA1A5E"/>
    <w:rsid w:val="00BA28ED"/>
    <w:rsid w:val="00BA771A"/>
    <w:rsid w:val="00BB0340"/>
    <w:rsid w:val="00BB0A80"/>
    <w:rsid w:val="00BC3212"/>
    <w:rsid w:val="00BD0849"/>
    <w:rsid w:val="00BD118A"/>
    <w:rsid w:val="00BE3928"/>
    <w:rsid w:val="00BE3A8B"/>
    <w:rsid w:val="00BE76DC"/>
    <w:rsid w:val="00BF748D"/>
    <w:rsid w:val="00C01795"/>
    <w:rsid w:val="00C050C1"/>
    <w:rsid w:val="00C06EF0"/>
    <w:rsid w:val="00C07731"/>
    <w:rsid w:val="00C1035E"/>
    <w:rsid w:val="00C10B5D"/>
    <w:rsid w:val="00C1153F"/>
    <w:rsid w:val="00C120D3"/>
    <w:rsid w:val="00C14CD5"/>
    <w:rsid w:val="00C17A7B"/>
    <w:rsid w:val="00C20597"/>
    <w:rsid w:val="00C21A3E"/>
    <w:rsid w:val="00C24876"/>
    <w:rsid w:val="00C26B68"/>
    <w:rsid w:val="00C347EE"/>
    <w:rsid w:val="00C406E0"/>
    <w:rsid w:val="00C438A2"/>
    <w:rsid w:val="00C45B38"/>
    <w:rsid w:val="00C46A3F"/>
    <w:rsid w:val="00C47F17"/>
    <w:rsid w:val="00C5106C"/>
    <w:rsid w:val="00C51186"/>
    <w:rsid w:val="00C54645"/>
    <w:rsid w:val="00C62822"/>
    <w:rsid w:val="00C73E6A"/>
    <w:rsid w:val="00C7507B"/>
    <w:rsid w:val="00C762DD"/>
    <w:rsid w:val="00C80AB4"/>
    <w:rsid w:val="00C841D9"/>
    <w:rsid w:val="00C863FC"/>
    <w:rsid w:val="00C91595"/>
    <w:rsid w:val="00C94E97"/>
    <w:rsid w:val="00C97962"/>
    <w:rsid w:val="00CB375C"/>
    <w:rsid w:val="00CB6BB5"/>
    <w:rsid w:val="00CB7046"/>
    <w:rsid w:val="00CC0B09"/>
    <w:rsid w:val="00CC234F"/>
    <w:rsid w:val="00CC51D1"/>
    <w:rsid w:val="00CD4999"/>
    <w:rsid w:val="00CD584F"/>
    <w:rsid w:val="00CE1D6A"/>
    <w:rsid w:val="00CE5154"/>
    <w:rsid w:val="00CE727C"/>
    <w:rsid w:val="00CF2952"/>
    <w:rsid w:val="00D00A09"/>
    <w:rsid w:val="00D029C8"/>
    <w:rsid w:val="00D06838"/>
    <w:rsid w:val="00D118DC"/>
    <w:rsid w:val="00D14301"/>
    <w:rsid w:val="00D16897"/>
    <w:rsid w:val="00D20AF7"/>
    <w:rsid w:val="00D20F0F"/>
    <w:rsid w:val="00D24F6B"/>
    <w:rsid w:val="00D25BCD"/>
    <w:rsid w:val="00D400F1"/>
    <w:rsid w:val="00D409AF"/>
    <w:rsid w:val="00D4365F"/>
    <w:rsid w:val="00D475AC"/>
    <w:rsid w:val="00D51F93"/>
    <w:rsid w:val="00D52C88"/>
    <w:rsid w:val="00D53AEF"/>
    <w:rsid w:val="00D65BB5"/>
    <w:rsid w:val="00D72D84"/>
    <w:rsid w:val="00D74EA7"/>
    <w:rsid w:val="00D74F9E"/>
    <w:rsid w:val="00D75190"/>
    <w:rsid w:val="00D82CF0"/>
    <w:rsid w:val="00D8440F"/>
    <w:rsid w:val="00D87528"/>
    <w:rsid w:val="00D879C1"/>
    <w:rsid w:val="00D90011"/>
    <w:rsid w:val="00D93CD4"/>
    <w:rsid w:val="00D95590"/>
    <w:rsid w:val="00D977DA"/>
    <w:rsid w:val="00DB0296"/>
    <w:rsid w:val="00DB35C5"/>
    <w:rsid w:val="00DB5126"/>
    <w:rsid w:val="00DB5F76"/>
    <w:rsid w:val="00DC02F5"/>
    <w:rsid w:val="00DD38D3"/>
    <w:rsid w:val="00DD49DC"/>
    <w:rsid w:val="00DE2D3F"/>
    <w:rsid w:val="00DE31C4"/>
    <w:rsid w:val="00DF0D08"/>
    <w:rsid w:val="00DF25D1"/>
    <w:rsid w:val="00E00D11"/>
    <w:rsid w:val="00E04671"/>
    <w:rsid w:val="00E05C69"/>
    <w:rsid w:val="00E05F3E"/>
    <w:rsid w:val="00E061DC"/>
    <w:rsid w:val="00E12EF3"/>
    <w:rsid w:val="00E15AF1"/>
    <w:rsid w:val="00E23D90"/>
    <w:rsid w:val="00E27A86"/>
    <w:rsid w:val="00E37899"/>
    <w:rsid w:val="00E51FCE"/>
    <w:rsid w:val="00E5571B"/>
    <w:rsid w:val="00E64C06"/>
    <w:rsid w:val="00E65894"/>
    <w:rsid w:val="00E675CB"/>
    <w:rsid w:val="00E70E88"/>
    <w:rsid w:val="00E76427"/>
    <w:rsid w:val="00E875F4"/>
    <w:rsid w:val="00E94CFD"/>
    <w:rsid w:val="00E95716"/>
    <w:rsid w:val="00EA4BD7"/>
    <w:rsid w:val="00EB1031"/>
    <w:rsid w:val="00EB7058"/>
    <w:rsid w:val="00ED3CF0"/>
    <w:rsid w:val="00EE2B5E"/>
    <w:rsid w:val="00EE42B9"/>
    <w:rsid w:val="00EE45A4"/>
    <w:rsid w:val="00EF0581"/>
    <w:rsid w:val="00F01E52"/>
    <w:rsid w:val="00F02D4B"/>
    <w:rsid w:val="00F05B6B"/>
    <w:rsid w:val="00F067C8"/>
    <w:rsid w:val="00F06DEC"/>
    <w:rsid w:val="00F11888"/>
    <w:rsid w:val="00F21B54"/>
    <w:rsid w:val="00F2345F"/>
    <w:rsid w:val="00F32992"/>
    <w:rsid w:val="00F3327D"/>
    <w:rsid w:val="00F36F5A"/>
    <w:rsid w:val="00F40573"/>
    <w:rsid w:val="00F41E3C"/>
    <w:rsid w:val="00F474DD"/>
    <w:rsid w:val="00F537B1"/>
    <w:rsid w:val="00F61A27"/>
    <w:rsid w:val="00F65178"/>
    <w:rsid w:val="00F66F10"/>
    <w:rsid w:val="00F672F3"/>
    <w:rsid w:val="00F7761C"/>
    <w:rsid w:val="00F77D53"/>
    <w:rsid w:val="00F823CE"/>
    <w:rsid w:val="00F83257"/>
    <w:rsid w:val="00F83A31"/>
    <w:rsid w:val="00F83C30"/>
    <w:rsid w:val="00F8461C"/>
    <w:rsid w:val="00F85371"/>
    <w:rsid w:val="00F96DB1"/>
    <w:rsid w:val="00F97807"/>
    <w:rsid w:val="00FA4484"/>
    <w:rsid w:val="00FB0D1B"/>
    <w:rsid w:val="00FB3EC6"/>
    <w:rsid w:val="00FB452A"/>
    <w:rsid w:val="00FB4571"/>
    <w:rsid w:val="00FB4C6D"/>
    <w:rsid w:val="00FB561F"/>
    <w:rsid w:val="00FC3E1C"/>
    <w:rsid w:val="00FC746F"/>
    <w:rsid w:val="00FC7A68"/>
    <w:rsid w:val="00FE1D4D"/>
    <w:rsid w:val="00FE26F2"/>
    <w:rsid w:val="00FE3E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54BA45"/>
  <w15:docId w15:val="{39BAFE1E-EBC7-473A-A98C-669EB7F3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5B5DC2"/>
    <w:pPr>
      <w:spacing w:before="100" w:beforeAutospacing="1" w:after="100" w:afterAutospacing="1" w:line="240" w:lineRule="auto"/>
      <w:outlineLvl w:val="2"/>
    </w:pPr>
    <w:rPr>
      <w:rFonts w:ascii="Times New Roman" w:eastAsia="Times New Roman" w:hAnsi="Times New Roman" w:cs="Times New Roman"/>
      <w:b/>
      <w:bCs/>
      <w:sz w:val="30"/>
      <w:szCs w:val="3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1DEE"/>
    <w:pPr>
      <w:ind w:left="720"/>
      <w:contextualSpacing/>
    </w:pPr>
  </w:style>
  <w:style w:type="paragraph" w:styleId="Funotentext">
    <w:name w:val="footnote text"/>
    <w:basedOn w:val="Standard"/>
    <w:link w:val="FunotentextZchn"/>
    <w:uiPriority w:val="99"/>
    <w:semiHidden/>
    <w:unhideWhenUsed/>
    <w:rsid w:val="008C3FB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C3FB1"/>
    <w:rPr>
      <w:sz w:val="20"/>
      <w:szCs w:val="20"/>
    </w:rPr>
  </w:style>
  <w:style w:type="character" w:styleId="Funotenzeichen">
    <w:name w:val="footnote reference"/>
    <w:basedOn w:val="Absatz-Standardschriftart"/>
    <w:uiPriority w:val="99"/>
    <w:semiHidden/>
    <w:unhideWhenUsed/>
    <w:rsid w:val="008C3FB1"/>
    <w:rPr>
      <w:vertAlign w:val="superscript"/>
    </w:rPr>
  </w:style>
  <w:style w:type="character" w:customStyle="1" w:styleId="berschrift3Zchn">
    <w:name w:val="Überschrift 3 Zchn"/>
    <w:basedOn w:val="Absatz-Standardschriftart"/>
    <w:link w:val="berschrift3"/>
    <w:uiPriority w:val="9"/>
    <w:rsid w:val="005B5DC2"/>
    <w:rPr>
      <w:rFonts w:ascii="Times New Roman" w:eastAsia="Times New Roman" w:hAnsi="Times New Roman" w:cs="Times New Roman"/>
      <w:b/>
      <w:bCs/>
      <w:sz w:val="30"/>
      <w:szCs w:val="30"/>
      <w:lang w:eastAsia="de-AT"/>
    </w:rPr>
  </w:style>
  <w:style w:type="paragraph" w:customStyle="1" w:styleId="abstand">
    <w:name w:val="abstand"/>
    <w:basedOn w:val="Standard"/>
    <w:rsid w:val="005B5DC2"/>
    <w:pPr>
      <w:snapToGrid w:val="0"/>
      <w:spacing w:after="0" w:line="200" w:lineRule="atLeast"/>
    </w:pPr>
    <w:rPr>
      <w:rFonts w:ascii="Times New Roman" w:eastAsia="Times New Roman" w:hAnsi="Times New Roman" w:cs="Times New Roman"/>
      <w:color w:val="000000"/>
      <w:sz w:val="20"/>
      <w:szCs w:val="20"/>
      <w:lang w:eastAsia="de-AT"/>
    </w:rPr>
  </w:style>
  <w:style w:type="paragraph" w:customStyle="1" w:styleId="abs">
    <w:name w:val="abs"/>
    <w:basedOn w:val="Standard"/>
    <w:rsid w:val="005B5DC2"/>
    <w:pPr>
      <w:snapToGrid w:val="0"/>
      <w:spacing w:before="80" w:after="0" w:line="288" w:lineRule="auto"/>
      <w:ind w:firstLine="397"/>
    </w:pPr>
    <w:rPr>
      <w:rFonts w:ascii="Times New Roman" w:eastAsia="Times New Roman" w:hAnsi="Times New Roman" w:cs="Times New Roman"/>
      <w:color w:val="000000"/>
      <w:sz w:val="20"/>
      <w:szCs w:val="20"/>
      <w:lang w:eastAsia="de-AT"/>
    </w:rPr>
  </w:style>
  <w:style w:type="character" w:customStyle="1" w:styleId="kursiv">
    <w:name w:val="kursiv"/>
    <w:basedOn w:val="Absatz-Standardschriftart"/>
    <w:rsid w:val="005B5DC2"/>
    <w:rPr>
      <w:i/>
      <w:iCs/>
    </w:rPr>
  </w:style>
  <w:style w:type="paragraph" w:styleId="Kopfzeile">
    <w:name w:val="header"/>
    <w:basedOn w:val="Standard"/>
    <w:link w:val="KopfzeileZchn"/>
    <w:uiPriority w:val="99"/>
    <w:unhideWhenUsed/>
    <w:rsid w:val="002007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07F5"/>
  </w:style>
  <w:style w:type="paragraph" w:styleId="Fuzeile">
    <w:name w:val="footer"/>
    <w:basedOn w:val="Standard"/>
    <w:link w:val="FuzeileZchn"/>
    <w:uiPriority w:val="99"/>
    <w:unhideWhenUsed/>
    <w:rsid w:val="002007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07F5"/>
  </w:style>
  <w:style w:type="paragraph" w:styleId="berarbeitung">
    <w:name w:val="Revision"/>
    <w:hidden/>
    <w:uiPriority w:val="99"/>
    <w:semiHidden/>
    <w:rsid w:val="00C51186"/>
    <w:pPr>
      <w:spacing w:after="0" w:line="240" w:lineRule="auto"/>
    </w:pPr>
  </w:style>
  <w:style w:type="paragraph" w:styleId="Sprechblasentext">
    <w:name w:val="Balloon Text"/>
    <w:basedOn w:val="Standard"/>
    <w:link w:val="SprechblasentextZchn"/>
    <w:uiPriority w:val="99"/>
    <w:semiHidden/>
    <w:unhideWhenUsed/>
    <w:rsid w:val="00C511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1186"/>
    <w:rPr>
      <w:rFonts w:ascii="Segoe UI" w:hAnsi="Segoe UI" w:cs="Segoe UI"/>
      <w:sz w:val="18"/>
      <w:szCs w:val="18"/>
    </w:rPr>
  </w:style>
  <w:style w:type="character" w:styleId="Kommentarzeichen">
    <w:name w:val="annotation reference"/>
    <w:basedOn w:val="Absatz-Standardschriftart"/>
    <w:uiPriority w:val="99"/>
    <w:semiHidden/>
    <w:unhideWhenUsed/>
    <w:rsid w:val="00C51186"/>
    <w:rPr>
      <w:sz w:val="16"/>
      <w:szCs w:val="16"/>
    </w:rPr>
  </w:style>
  <w:style w:type="paragraph" w:styleId="Kommentartext">
    <w:name w:val="annotation text"/>
    <w:basedOn w:val="Standard"/>
    <w:link w:val="KommentartextZchn"/>
    <w:uiPriority w:val="99"/>
    <w:unhideWhenUsed/>
    <w:rsid w:val="00C51186"/>
    <w:pPr>
      <w:spacing w:line="240" w:lineRule="auto"/>
    </w:pPr>
    <w:rPr>
      <w:sz w:val="20"/>
      <w:szCs w:val="20"/>
    </w:rPr>
  </w:style>
  <w:style w:type="character" w:customStyle="1" w:styleId="KommentartextZchn">
    <w:name w:val="Kommentartext Zchn"/>
    <w:basedOn w:val="Absatz-Standardschriftart"/>
    <w:link w:val="Kommentartext"/>
    <w:uiPriority w:val="99"/>
    <w:rsid w:val="00C51186"/>
    <w:rPr>
      <w:sz w:val="20"/>
      <w:szCs w:val="20"/>
    </w:rPr>
  </w:style>
  <w:style w:type="paragraph" w:styleId="Kommentarthema">
    <w:name w:val="annotation subject"/>
    <w:basedOn w:val="Kommentartext"/>
    <w:next w:val="Kommentartext"/>
    <w:link w:val="KommentarthemaZchn"/>
    <w:uiPriority w:val="99"/>
    <w:semiHidden/>
    <w:unhideWhenUsed/>
    <w:rsid w:val="00C51186"/>
    <w:rPr>
      <w:b/>
      <w:bCs/>
    </w:rPr>
  </w:style>
  <w:style w:type="character" w:customStyle="1" w:styleId="KommentarthemaZchn">
    <w:name w:val="Kommentarthema Zchn"/>
    <w:basedOn w:val="KommentartextZchn"/>
    <w:link w:val="Kommentarthema"/>
    <w:uiPriority w:val="99"/>
    <w:semiHidden/>
    <w:rsid w:val="00C51186"/>
    <w:rPr>
      <w:b/>
      <w:bCs/>
      <w:sz w:val="20"/>
      <w:szCs w:val="20"/>
    </w:rPr>
  </w:style>
  <w:style w:type="character" w:styleId="Hyperlink">
    <w:name w:val="Hyperlink"/>
    <w:basedOn w:val="Absatz-Standardschriftart"/>
    <w:uiPriority w:val="99"/>
    <w:unhideWhenUsed/>
    <w:rsid w:val="00E64C06"/>
    <w:rPr>
      <w:color w:val="0563C1" w:themeColor="hyperlink"/>
      <w:u w:val="single"/>
    </w:rPr>
  </w:style>
  <w:style w:type="paragraph" w:customStyle="1" w:styleId="s3">
    <w:name w:val="s3"/>
    <w:basedOn w:val="Standard"/>
    <w:rsid w:val="00966F42"/>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s2">
    <w:name w:val="s2"/>
    <w:basedOn w:val="Absatz-Standardschriftart"/>
    <w:rsid w:val="00966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42805">
      <w:bodyDiv w:val="1"/>
      <w:marLeft w:val="0"/>
      <w:marRight w:val="0"/>
      <w:marTop w:val="0"/>
      <w:marBottom w:val="0"/>
      <w:divBdr>
        <w:top w:val="none" w:sz="0" w:space="0" w:color="auto"/>
        <w:left w:val="none" w:sz="0" w:space="0" w:color="auto"/>
        <w:bottom w:val="none" w:sz="0" w:space="0" w:color="auto"/>
        <w:right w:val="none" w:sz="0" w:space="0" w:color="auto"/>
      </w:divBdr>
    </w:div>
    <w:div w:id="553389120">
      <w:bodyDiv w:val="1"/>
      <w:marLeft w:val="0"/>
      <w:marRight w:val="0"/>
      <w:marTop w:val="0"/>
      <w:marBottom w:val="0"/>
      <w:divBdr>
        <w:top w:val="none" w:sz="0" w:space="0" w:color="auto"/>
        <w:left w:val="none" w:sz="0" w:space="0" w:color="auto"/>
        <w:bottom w:val="none" w:sz="0" w:space="0" w:color="auto"/>
        <w:right w:val="none" w:sz="0" w:space="0" w:color="auto"/>
      </w:divBdr>
      <w:divsChild>
        <w:div w:id="2107924778">
          <w:marLeft w:val="0"/>
          <w:marRight w:val="0"/>
          <w:marTop w:val="75"/>
          <w:marBottom w:val="75"/>
          <w:divBdr>
            <w:top w:val="none" w:sz="0" w:space="0" w:color="auto"/>
            <w:left w:val="none" w:sz="0" w:space="0" w:color="auto"/>
            <w:bottom w:val="none" w:sz="0" w:space="0" w:color="auto"/>
            <w:right w:val="none" w:sz="0" w:space="0" w:color="auto"/>
          </w:divBdr>
          <w:divsChild>
            <w:div w:id="433091015">
              <w:marLeft w:val="0"/>
              <w:marRight w:val="0"/>
              <w:marTop w:val="372"/>
              <w:marBottom w:val="0"/>
              <w:divBdr>
                <w:top w:val="none" w:sz="0" w:space="0" w:color="auto"/>
                <w:left w:val="none" w:sz="0" w:space="0" w:color="auto"/>
                <w:bottom w:val="none" w:sz="0" w:space="0" w:color="auto"/>
                <w:right w:val="none" w:sz="0" w:space="0" w:color="auto"/>
              </w:divBdr>
              <w:divsChild>
                <w:div w:id="865294533">
                  <w:marLeft w:val="0"/>
                  <w:marRight w:val="0"/>
                  <w:marTop w:val="0"/>
                  <w:marBottom w:val="0"/>
                  <w:divBdr>
                    <w:top w:val="none" w:sz="0" w:space="0" w:color="auto"/>
                    <w:left w:val="none" w:sz="0" w:space="0" w:color="auto"/>
                    <w:bottom w:val="none" w:sz="0" w:space="0" w:color="auto"/>
                    <w:right w:val="none" w:sz="0" w:space="0" w:color="auto"/>
                  </w:divBdr>
                  <w:divsChild>
                    <w:div w:id="1235047504">
                      <w:marLeft w:val="0"/>
                      <w:marRight w:val="0"/>
                      <w:marTop w:val="120"/>
                      <w:marBottom w:val="0"/>
                      <w:divBdr>
                        <w:top w:val="single" w:sz="6" w:space="6" w:color="9D9C9C"/>
                        <w:left w:val="single" w:sz="6" w:space="6" w:color="9D9C9C"/>
                        <w:bottom w:val="single" w:sz="6" w:space="6" w:color="9D9C9C"/>
                        <w:right w:val="single" w:sz="6" w:space="6" w:color="9D9C9C"/>
                      </w:divBdr>
                      <w:divsChild>
                        <w:div w:id="1511262787">
                          <w:marLeft w:val="0"/>
                          <w:marRight w:val="0"/>
                          <w:marTop w:val="0"/>
                          <w:marBottom w:val="0"/>
                          <w:divBdr>
                            <w:top w:val="none" w:sz="0" w:space="0" w:color="auto"/>
                            <w:left w:val="none" w:sz="0" w:space="0" w:color="auto"/>
                            <w:bottom w:val="none" w:sz="0" w:space="0" w:color="auto"/>
                            <w:right w:val="none" w:sz="0" w:space="0" w:color="auto"/>
                          </w:divBdr>
                          <w:divsChild>
                            <w:div w:id="1402143116">
                              <w:marLeft w:val="0"/>
                              <w:marRight w:val="0"/>
                              <w:marTop w:val="240"/>
                              <w:marBottom w:val="0"/>
                              <w:divBdr>
                                <w:top w:val="none" w:sz="0" w:space="0" w:color="auto"/>
                                <w:left w:val="none" w:sz="0" w:space="0" w:color="auto"/>
                                <w:bottom w:val="none" w:sz="0" w:space="0" w:color="auto"/>
                                <w:right w:val="none" w:sz="0" w:space="0" w:color="auto"/>
                              </w:divBdr>
                            </w:div>
                            <w:div w:id="1771197814">
                              <w:marLeft w:val="0"/>
                              <w:marRight w:val="0"/>
                              <w:marTop w:val="240"/>
                              <w:marBottom w:val="0"/>
                              <w:divBdr>
                                <w:top w:val="none" w:sz="0" w:space="0" w:color="auto"/>
                                <w:left w:val="none" w:sz="0" w:space="0" w:color="auto"/>
                                <w:bottom w:val="none" w:sz="0" w:space="0" w:color="auto"/>
                                <w:right w:val="none" w:sz="0" w:space="0" w:color="auto"/>
                              </w:divBdr>
                            </w:div>
                            <w:div w:id="630866100">
                              <w:marLeft w:val="0"/>
                              <w:marRight w:val="0"/>
                              <w:marTop w:val="240"/>
                              <w:marBottom w:val="0"/>
                              <w:divBdr>
                                <w:top w:val="none" w:sz="0" w:space="0" w:color="auto"/>
                                <w:left w:val="none" w:sz="0" w:space="0" w:color="auto"/>
                                <w:bottom w:val="none" w:sz="0" w:space="0" w:color="auto"/>
                                <w:right w:val="none" w:sz="0" w:space="0" w:color="auto"/>
                              </w:divBdr>
                            </w:div>
                            <w:div w:id="1156650223">
                              <w:marLeft w:val="0"/>
                              <w:marRight w:val="0"/>
                              <w:marTop w:val="240"/>
                              <w:marBottom w:val="0"/>
                              <w:divBdr>
                                <w:top w:val="none" w:sz="0" w:space="0" w:color="auto"/>
                                <w:left w:val="none" w:sz="0" w:space="0" w:color="auto"/>
                                <w:bottom w:val="none" w:sz="0" w:space="0" w:color="auto"/>
                                <w:right w:val="none" w:sz="0" w:space="0" w:color="auto"/>
                              </w:divBdr>
                            </w:div>
                            <w:div w:id="1173182929">
                              <w:marLeft w:val="0"/>
                              <w:marRight w:val="0"/>
                              <w:marTop w:val="240"/>
                              <w:marBottom w:val="0"/>
                              <w:divBdr>
                                <w:top w:val="none" w:sz="0" w:space="0" w:color="auto"/>
                                <w:left w:val="none" w:sz="0" w:space="0" w:color="auto"/>
                                <w:bottom w:val="none" w:sz="0" w:space="0" w:color="auto"/>
                                <w:right w:val="none" w:sz="0" w:space="0" w:color="auto"/>
                              </w:divBdr>
                              <w:divsChild>
                                <w:div w:id="1210265979">
                                  <w:marLeft w:val="0"/>
                                  <w:marRight w:val="0"/>
                                  <w:marTop w:val="0"/>
                                  <w:marBottom w:val="0"/>
                                  <w:divBdr>
                                    <w:top w:val="none" w:sz="0" w:space="0" w:color="auto"/>
                                    <w:left w:val="none" w:sz="0" w:space="0" w:color="auto"/>
                                    <w:bottom w:val="none" w:sz="0" w:space="0" w:color="auto"/>
                                    <w:right w:val="none" w:sz="0" w:space="0" w:color="auto"/>
                                  </w:divBdr>
                                  <w:divsChild>
                                    <w:div w:id="5925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2905">
                              <w:marLeft w:val="0"/>
                              <w:marRight w:val="0"/>
                              <w:marTop w:val="240"/>
                              <w:marBottom w:val="0"/>
                              <w:divBdr>
                                <w:top w:val="none" w:sz="0" w:space="0" w:color="auto"/>
                                <w:left w:val="none" w:sz="0" w:space="0" w:color="auto"/>
                                <w:bottom w:val="none" w:sz="0" w:space="0" w:color="auto"/>
                                <w:right w:val="none" w:sz="0" w:space="0" w:color="auto"/>
                              </w:divBdr>
                              <w:divsChild>
                                <w:div w:id="992759790">
                                  <w:marLeft w:val="0"/>
                                  <w:marRight w:val="0"/>
                                  <w:marTop w:val="0"/>
                                  <w:marBottom w:val="0"/>
                                  <w:divBdr>
                                    <w:top w:val="none" w:sz="0" w:space="0" w:color="auto"/>
                                    <w:left w:val="none" w:sz="0" w:space="0" w:color="auto"/>
                                    <w:bottom w:val="none" w:sz="0" w:space="0" w:color="auto"/>
                                    <w:right w:val="none" w:sz="0" w:space="0" w:color="auto"/>
                                  </w:divBdr>
                                  <w:divsChild>
                                    <w:div w:id="11525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91902">
                              <w:marLeft w:val="0"/>
                              <w:marRight w:val="0"/>
                              <w:marTop w:val="240"/>
                              <w:marBottom w:val="0"/>
                              <w:divBdr>
                                <w:top w:val="none" w:sz="0" w:space="0" w:color="auto"/>
                                <w:left w:val="none" w:sz="0" w:space="0" w:color="auto"/>
                                <w:bottom w:val="none" w:sz="0" w:space="0" w:color="auto"/>
                                <w:right w:val="none" w:sz="0" w:space="0" w:color="auto"/>
                              </w:divBdr>
                              <w:divsChild>
                                <w:div w:id="144441370">
                                  <w:marLeft w:val="0"/>
                                  <w:marRight w:val="0"/>
                                  <w:marTop w:val="0"/>
                                  <w:marBottom w:val="0"/>
                                  <w:divBdr>
                                    <w:top w:val="none" w:sz="0" w:space="0" w:color="auto"/>
                                    <w:left w:val="none" w:sz="0" w:space="0" w:color="auto"/>
                                    <w:bottom w:val="none" w:sz="0" w:space="0" w:color="auto"/>
                                    <w:right w:val="none" w:sz="0" w:space="0" w:color="auto"/>
                                  </w:divBdr>
                                  <w:divsChild>
                                    <w:div w:id="12937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77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ette.lichtmannegger@wu.ac.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lang@wu.ac.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usportal.at/universitas-professorum-tempestivus-varius-fort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b0a3ee-3d2a-451c-9a1a-7e5d5b0c9c77"/>
    <DokumentenartTaxHTField0 xmlns="1a8d9a65-8471-4209-a900-f8e11db75e0a">
      <Terms xmlns="http://schemas.microsoft.com/office/infopath/2007/PartnerControls"/>
    </DokumentenartTaxHTField0>
    <WU_x0020_ThemaTaxHTField0 xmlns="1a8d9a65-8471-4209-a900-f8e11db75e0a">
      <Terms xmlns="http://schemas.microsoft.com/office/infopath/2007/PartnerControls"/>
    </WU_x0020_Thema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AC4B83D2278CE4792164AA904CB9F94" ma:contentTypeVersion="2" ma:contentTypeDescription="Ein neues Dokument erstellen." ma:contentTypeScope="" ma:versionID="3d64fb845cfc0129b30ca995dd0b5455">
  <xsd:schema xmlns:xsd="http://www.w3.org/2001/XMLSchema" xmlns:xs="http://www.w3.org/2001/XMLSchema" xmlns:p="http://schemas.microsoft.com/office/2006/metadata/properties" xmlns:ns2="1a8d9a65-8471-4209-a900-f8e11db75e0a" xmlns:ns3="08b0a3ee-3d2a-451c-9a1a-7e5d5b0c9c77" targetNamespace="http://schemas.microsoft.com/office/2006/metadata/properties" ma:root="true" ma:fieldsID="ac08123cabdbe30bf90fb31364dee715" ns2:_="" ns3:_="">
    <xsd:import namespace="1a8d9a65-8471-4209-a900-f8e11db75e0a"/>
    <xsd:import namespace="08b0a3ee-3d2a-451c-9a1a-7e5d5b0c9c77"/>
    <xsd:element name="properties">
      <xsd:complexType>
        <xsd:sequence>
          <xsd:element name="documentManagement">
            <xsd:complexType>
              <xsd:all>
                <xsd:element ref="ns2:WU_x0020_ThemaTaxHTField0" minOccurs="0"/>
                <xsd:element ref="ns3:TaxCatchAll" minOccurs="0"/>
                <xsd:element ref="ns2:Dokumentenar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d9a65-8471-4209-a900-f8e11db75e0a" elementFormDefault="qualified">
    <xsd:import namespace="http://schemas.microsoft.com/office/2006/documentManagement/types"/>
    <xsd:import namespace="http://schemas.microsoft.com/office/infopath/2007/PartnerControls"/>
    <xsd:element name="WU_x0020_ThemaTaxHTField0" ma:index="9" nillable="true" ma:taxonomy="true" ma:internalName="WU_x0020_ThemaTaxHTField0" ma:taxonomyFieldName="WU_x0020_Thema" ma:displayName="Schlagwort" ma:default="" ma:fieldId="{a2eb3201-e251-4055-97e9-466604fc777f}" ma:taxonomyMulti="true" ma:sspId="59da4ae5-1217-4de6-bd64-b7a740f353bb" ma:termSetId="33198ee1-e179-4093-93c7-172bea097b1a" ma:anchorId="00000000-0000-0000-0000-000000000000" ma:open="false" ma:isKeyword="false">
      <xsd:complexType>
        <xsd:sequence>
          <xsd:element ref="pc:Terms" minOccurs="0" maxOccurs="1"/>
        </xsd:sequence>
      </xsd:complexType>
    </xsd:element>
    <xsd:element name="DokumentenartTaxHTField0" ma:index="12" nillable="true" ma:taxonomy="true" ma:internalName="DokumentenartTaxHTField0" ma:taxonomyFieldName="Dokumentenart" ma:displayName="Dokumentenart" ma:default="" ma:fieldId="{0f2e647f-32b7-4850-b6be-ae358ed71e70}" ma:taxonomyMulti="true" ma:sspId="59da4ae5-1217-4de6-bd64-b7a740f353bb" ma:termSetId="325756d7-e24e-4b6f-ba71-3f779d34c1ea" ma:anchorId="b61eacf7-cd75-4f29-9f06-e89edb9be86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b0a3ee-3d2a-451c-9a1a-7e5d5b0c9c77"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6a103bb8-3913-4e3b-a229-080a76572464}" ma:internalName="TaxCatchAll" ma:showField="CatchAllData" ma:web="08b0a3ee-3d2a-451c-9a1a-7e5d5b0c9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D78DD-DD3A-46AB-9743-A1006D422259}">
  <ds:schemaRefs>
    <ds:schemaRef ds:uri="http://purl.org/dc/dcmitype/"/>
    <ds:schemaRef ds:uri="http://purl.org/dc/terms/"/>
    <ds:schemaRef ds:uri="08b0a3ee-3d2a-451c-9a1a-7e5d5b0c9c77"/>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1a8d9a65-8471-4209-a900-f8e11db75e0a"/>
    <ds:schemaRef ds:uri="http://www.w3.org/XML/1998/namespace"/>
  </ds:schemaRefs>
</ds:datastoreItem>
</file>

<file path=customXml/itemProps2.xml><?xml version="1.0" encoding="utf-8"?>
<ds:datastoreItem xmlns:ds="http://schemas.openxmlformats.org/officeDocument/2006/customXml" ds:itemID="{62FF0496-1DE5-4666-A5BB-C0C9EE59F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d9a65-8471-4209-a900-f8e11db75e0a"/>
    <ds:schemaRef ds:uri="08b0a3ee-3d2a-451c-9a1a-7e5d5b0c9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E0084-475D-4754-8CC9-D3FAF42E8704}">
  <ds:schemaRefs>
    <ds:schemaRef ds:uri="http://schemas.microsoft.com/sharepoint/v3/contenttype/forms"/>
  </ds:schemaRefs>
</ds:datastoreItem>
</file>

<file path=customXml/itemProps4.xml><?xml version="1.0" encoding="utf-8"?>
<ds:datastoreItem xmlns:ds="http://schemas.openxmlformats.org/officeDocument/2006/customXml" ds:itemID="{909A28D9-C824-4AB1-A4AF-CC057A64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8222</Words>
  <Characters>51801</Characters>
  <Application>Microsoft Office Word</Application>
  <DocSecurity>4</DocSecurity>
  <Lines>431</Lines>
  <Paragraphs>119</Paragraphs>
  <ScaleCrop>false</ScaleCrop>
  <HeadingPairs>
    <vt:vector size="2" baseType="variant">
      <vt:variant>
        <vt:lpstr>Titel</vt:lpstr>
      </vt:variant>
      <vt:variant>
        <vt:i4>1</vt:i4>
      </vt:variant>
    </vt:vector>
  </HeadingPairs>
  <TitlesOfParts>
    <vt:vector size="1" baseType="lpstr">
      <vt:lpstr>§_99_Abs_4_UG_Fassung_27122016_ML</vt:lpstr>
    </vt:vector>
  </TitlesOfParts>
  <Company>WU</Company>
  <LinksUpToDate>false</LinksUpToDate>
  <CharactersWithSpaces>59904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§_99_Abs_4_UG_Fassung_27122016_ML</dc:title>
  <dc:creator>Michael Lang</dc:creator>
  <cp:lastModifiedBy>Zivotic, Milica</cp:lastModifiedBy>
  <cp:revision>2</cp:revision>
  <cp:lastPrinted>2017-02-10T13:39:00Z</cp:lastPrinted>
  <dcterms:created xsi:type="dcterms:W3CDTF">2017-07-04T07:45:00Z</dcterms:created>
  <dcterms:modified xsi:type="dcterms:W3CDTF">2017-07-04T07:45:00Z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0x0101005AC4B83D2278CE4792164AA904CB9F94</vt:lpwstr>
  </property>
  <property fmtid="{D5CDD505-2E9C-101B-9397-08002B2CF9AE}" pid="3" name="Order">
    <vt:r8>30600</vt:r8>
  </property>
  <property fmtid="{D5CDD505-2E9C-101B-9397-08002B2CF9AE}" pid="4" name="WU Thema">
    <vt:lpwstr/>
  </property>
  <property fmtid="{D5CDD505-2E9C-101B-9397-08002B2CF9AE}" pid="5" name="Dokumentenart">
    <vt:lpwstr/>
  </property>
</Properties>
</file>